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大冶市灵乡镇党群服务中心2024年度部门决算</w:t>
      </w:r>
    </w:p>
    <w:p>
      <w:pPr>
        <w:keepNext w:val="0"/>
        <w:keepLines w:val="0"/>
        <w:pageBreakBefore w:val="0"/>
        <w:widowControl w:val="0"/>
        <w:shd w:val="clear" w:color="auto" w:fill="FFFFFF"/>
        <w:kinsoku/>
        <w:wordWrap/>
        <w:overflowPunct/>
        <w:topLinePunct w:val="0"/>
        <w:bidi w:val="0"/>
        <w:spacing w:before="240" w:after="240" w:line="360" w:lineRule="auto"/>
        <w:ind w:firstLine="64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第一部分：大冶市</w:t>
      </w:r>
      <w:r>
        <w:rPr>
          <w:rStyle w:val="5"/>
          <w:rFonts w:hint="eastAsia" w:ascii="黑体" w:hAnsi="黑体" w:eastAsia="黑体" w:cs="黑体"/>
          <w:sz w:val="32"/>
          <w:szCs w:val="32"/>
          <w:rtl w:val="0"/>
          <w:lang w:val="en-US" w:eastAsia="zh-CN"/>
        </w:rPr>
        <w:t>灵乡镇党群服务中心</w:t>
      </w:r>
      <w:r>
        <w:rPr>
          <w:rStyle w:val="5"/>
          <w:rFonts w:hint="eastAsia" w:ascii="黑体" w:hAnsi="黑体" w:eastAsia="黑体" w:cs="黑体"/>
          <w:sz w:val="32"/>
          <w:szCs w:val="32"/>
          <w:rtl w:val="0"/>
        </w:rPr>
        <w:t>概况</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一、主要职责</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宋体" w:hAnsi="宋体"/>
          <w:sz w:val="32"/>
          <w:szCs w:val="32"/>
        </w:rPr>
      </w:pPr>
      <w:r>
        <w:rPr>
          <w:rFonts w:hint="eastAsia" w:ascii="仿宋_GB2312" w:hAnsi="宋体" w:eastAsia="仿宋_GB2312" w:cs="Times New Roman"/>
          <w:bCs/>
          <w:sz w:val="32"/>
          <w:szCs w:val="32"/>
          <w:highlight w:val="none"/>
          <w:rtl w:val="0"/>
        </w:rPr>
        <w:t>二、机构设置</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第二部分：大冶市</w:t>
      </w:r>
      <w:r>
        <w:rPr>
          <w:rStyle w:val="5"/>
          <w:rFonts w:hint="eastAsia" w:ascii="黑体" w:hAnsi="黑体" w:eastAsia="黑体" w:cs="黑体"/>
          <w:sz w:val="32"/>
          <w:szCs w:val="32"/>
          <w:rtl w:val="0"/>
          <w:lang w:val="en-US" w:eastAsia="zh-CN"/>
        </w:rPr>
        <w:t>灵乡镇党群服务中心</w:t>
      </w:r>
      <w:r>
        <w:rPr>
          <w:rStyle w:val="5"/>
          <w:rFonts w:hint="eastAsia" w:ascii="黑体" w:hAnsi="黑体" w:eastAsia="黑体" w:cs="黑体"/>
          <w:sz w:val="32"/>
          <w:szCs w:val="32"/>
          <w:rtl w:val="0"/>
          <w:lang w:eastAsia="zh-CN"/>
        </w:rPr>
        <w:t>2024</w:t>
      </w:r>
      <w:r>
        <w:rPr>
          <w:rStyle w:val="5"/>
          <w:rFonts w:hint="eastAsia" w:ascii="黑体" w:hAnsi="黑体" w:eastAsia="黑体" w:cs="黑体"/>
          <w:sz w:val="32"/>
          <w:szCs w:val="32"/>
          <w:rtl w:val="0"/>
        </w:rPr>
        <w:t>年度部门决算报表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一、收入支出决算总表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二、收入决算表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三、支出决算表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四、财政拨款收入支出决算总表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五、一般公共预算财政拨款支出决算表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六、一般公共预算财政拨款基本支出决算明细表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七、政府性基金预算财政拨款收入支出决算表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八、国有资本经营预算财政拨款支出决算表</w:t>
      </w:r>
    </w:p>
    <w:p>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九、财政拨款“三公”经费支出决算表</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第三部分：大冶市</w:t>
      </w:r>
      <w:r>
        <w:rPr>
          <w:rStyle w:val="5"/>
          <w:rFonts w:hint="eastAsia" w:ascii="黑体" w:hAnsi="黑体" w:eastAsia="黑体" w:cs="黑体"/>
          <w:sz w:val="32"/>
          <w:szCs w:val="32"/>
          <w:rtl w:val="0"/>
          <w:lang w:val="en-US" w:eastAsia="zh-CN"/>
        </w:rPr>
        <w:t>灵乡镇党群服务中心</w:t>
      </w:r>
      <w:r>
        <w:rPr>
          <w:rStyle w:val="5"/>
          <w:rFonts w:hint="eastAsia" w:ascii="黑体" w:hAnsi="黑体" w:eastAsia="黑体" w:cs="黑体"/>
          <w:sz w:val="32"/>
          <w:szCs w:val="32"/>
          <w:rtl w:val="0"/>
          <w:lang w:eastAsia="zh-CN"/>
        </w:rPr>
        <w:t>2024</w:t>
      </w:r>
      <w:r>
        <w:rPr>
          <w:rStyle w:val="5"/>
          <w:rFonts w:hint="eastAsia" w:ascii="黑体" w:hAnsi="黑体" w:eastAsia="黑体" w:cs="黑体"/>
          <w:sz w:val="32"/>
          <w:szCs w:val="32"/>
          <w:rtl w:val="0"/>
        </w:rPr>
        <w:t>年度部门决算情况说明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一、收入支出决算总体情况说明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二、收入决算情况说明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三、支出决算情况说明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四、财政拨款收入支出决算总体情况说明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五、一般公共预算财政拨款支出决算情况说明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六、一般公共预算财政拨款基本支出决算情况说明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七、政府性基金预算财政拨款收入支出决算情况说明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九、财政拨款“三公”经费支出决算情况说明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十、机关运行经费支出情况说明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十一、政府采购支出情况说明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十二、国有资产占用情况说明</w:t>
      </w:r>
    </w:p>
    <w:p>
      <w:pPr>
        <w:ind w:firstLine="640" w:firstLineChars="200"/>
        <w:rPr>
          <w:rFonts w:hint="eastAsia" w:ascii="宋体" w:hAnsi="宋体"/>
          <w:sz w:val="32"/>
          <w:szCs w:val="32"/>
        </w:rPr>
      </w:pPr>
      <w:r>
        <w:rPr>
          <w:rFonts w:hint="eastAsia" w:ascii="Times New Roman" w:hAnsi="Times New Roman" w:eastAsia="仿宋_GB2312" w:cs="Times New Roman"/>
          <w:sz w:val="32"/>
          <w:szCs w:val="32"/>
          <w:lang w:val="en-US" w:eastAsia="zh-CN"/>
        </w:rPr>
        <w:t>十三、预算绩效情况说明</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十四、专项支出、转移支付支出情况说明</w:t>
      </w:r>
    </w:p>
    <w:p>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第四部分：其他需要说明的情况</w:t>
      </w:r>
    </w:p>
    <w:p>
      <w:pPr>
        <w:ind w:firstLine="640" w:firstLineChars="200"/>
        <w:rPr>
          <w:rStyle w:val="5"/>
          <w:rFonts w:hint="eastAsia" w:ascii="黑体" w:hAnsi="黑体" w:eastAsia="黑体" w:cs="黑体"/>
          <w:sz w:val="32"/>
          <w:szCs w:val="32"/>
          <w:rtl w:val="0"/>
        </w:rPr>
      </w:pPr>
      <w:r>
        <w:rPr>
          <w:rStyle w:val="5"/>
          <w:rFonts w:hint="eastAsia" w:ascii="黑体" w:hAnsi="黑体" w:eastAsia="黑体" w:cs="黑体"/>
          <w:sz w:val="32"/>
          <w:szCs w:val="32"/>
          <w:rtl w:val="0"/>
        </w:rPr>
        <w:t>第五部分：名词解释</w:t>
      </w:r>
    </w:p>
    <w:p>
      <w:pPr>
        <w:ind w:firstLine="640" w:firstLineChars="200"/>
        <w:rPr>
          <w:rFonts w:hint="eastAsia" w:ascii="宋体" w:hAnsi="宋体"/>
          <w:bCs/>
          <w:color w:val="000000"/>
          <w:sz w:val="32"/>
          <w:szCs w:val="32"/>
        </w:rPr>
      </w:pPr>
      <w:r>
        <w:rPr>
          <w:rStyle w:val="5"/>
          <w:rFonts w:hint="eastAsia" w:ascii="黑体" w:hAnsi="黑体" w:eastAsia="黑体" w:cs="黑体"/>
          <w:sz w:val="32"/>
          <w:szCs w:val="32"/>
          <w:rtl w:val="0"/>
        </w:rPr>
        <w:t>第六部分：附件</w:t>
      </w:r>
    </w:p>
    <w:p>
      <w:pPr>
        <w:spacing w:before="156" w:beforeLines="50" w:after="156" w:afterLines="50"/>
        <w:ind w:firstLine="562" w:firstLineChars="200"/>
        <w:rPr>
          <w:rFonts w:hint="eastAsia" w:ascii="宋体" w:hAnsi="宋体"/>
          <w:b/>
          <w:bCs/>
          <w:color w:val="000000"/>
          <w:sz w:val="28"/>
          <w:szCs w:val="28"/>
        </w:rPr>
      </w:pPr>
    </w:p>
    <w:p>
      <w:pPr>
        <w:spacing w:before="156" w:beforeLines="50" w:after="156" w:afterLines="50"/>
        <w:rPr>
          <w:rFonts w:hint="eastAsia" w:ascii="宋体" w:hAnsi="宋体"/>
          <w:b/>
          <w:bCs/>
          <w:color w:val="000000"/>
          <w:sz w:val="28"/>
          <w:szCs w:val="28"/>
        </w:rPr>
      </w:pPr>
    </w:p>
    <w:p>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第一部分：</w:t>
      </w:r>
      <w:r>
        <w:rPr>
          <w:rStyle w:val="5"/>
          <w:rFonts w:hint="eastAsia" w:ascii="黑体" w:hAnsi="黑体" w:eastAsia="黑体" w:cs="黑体"/>
          <w:sz w:val="32"/>
          <w:szCs w:val="32"/>
          <w:rtl w:val="0"/>
        </w:rPr>
        <w:t>大冶市</w:t>
      </w:r>
      <w:r>
        <w:rPr>
          <w:rStyle w:val="5"/>
          <w:rFonts w:hint="eastAsia" w:ascii="黑体" w:hAnsi="黑体" w:eastAsia="黑体" w:cs="黑体"/>
          <w:sz w:val="32"/>
          <w:szCs w:val="32"/>
          <w:rtl w:val="0"/>
          <w:lang w:val="en-US" w:eastAsia="zh-CN"/>
        </w:rPr>
        <w:t>灵乡镇党群服务中心</w:t>
      </w:r>
      <w:r>
        <w:rPr>
          <w:rFonts w:hint="eastAsia" w:ascii="黑体" w:hAnsi="黑体" w:eastAsia="黑体" w:cs="黑体"/>
          <w:sz w:val="32"/>
          <w:szCs w:val="32"/>
          <w:u w:val="none"/>
          <w:rtl w:val="0"/>
          <w:lang w:val="en-US" w:eastAsia="zh-CN"/>
        </w:rPr>
        <w:t>概况</w:t>
      </w:r>
    </w:p>
    <w:p>
      <w:pPr>
        <w:numPr>
          <w:ilvl w:val="0"/>
          <w:numId w:val="1"/>
        </w:numPr>
        <w:adjustRightInd w:val="0"/>
        <w:snapToGrid w:val="0"/>
        <w:spacing w:line="580" w:lineRule="atLeast"/>
        <w:ind w:firstLine="640" w:firstLineChars="200"/>
        <w:rPr>
          <w:rFonts w:hint="eastAsia" w:ascii="宋体" w:hAnsi="宋体" w:eastAsia="宋体" w:cs="Times New Roman"/>
          <w:kern w:val="2"/>
          <w:sz w:val="28"/>
          <w:szCs w:val="28"/>
          <w:lang w:val="en-US" w:eastAsia="zh-CN" w:bidi="ar-SA"/>
        </w:rPr>
      </w:pPr>
      <w:r>
        <w:rPr>
          <w:rFonts w:hint="eastAsia" w:ascii="黑体" w:hAnsi="黑体" w:eastAsia="黑体" w:cs="黑体"/>
          <w:bCs/>
          <w:sz w:val="32"/>
          <w:szCs w:val="32"/>
          <w:highlight w:val="none"/>
          <w:lang w:val="en-US" w:eastAsia="zh-CN"/>
        </w:rPr>
        <w:t>主要职责</w:t>
      </w:r>
    </w:p>
    <w:p>
      <w:pPr>
        <w:numPr>
          <w:ilvl w:val="0"/>
          <w:numId w:val="0"/>
        </w:numPr>
        <w:adjustRightInd w:val="0"/>
        <w:snapToGrid w:val="0"/>
        <w:spacing w:line="580" w:lineRule="atLeast"/>
        <w:ind w:firstLine="560" w:firstLineChars="200"/>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1、结合市经济发达镇赋权清单，负责人社、民政、城管执法、住房和城乡建设、科技、交通、水利和湖泊、农业农村、文化和旅游、财政、发改、商务、应急管理等行政审批和公共服务事项的受(办)理工作。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2、负责税务、公安、法庭、司法、生态环境、卫生健康、教育、市场监管、自然资源和规划等仍实行延伸、派驻体制部门进驻人员和事项的监督管理工作。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3、负责各类政务服务电子平台的运行和维护，推行行政审批和公共服务网上办理。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4、负责政务服务大厅的日常管理工作。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default" w:ascii="宋体" w:hAnsi="宋体" w:eastAsia="宋体" w:cs="Times New Roman"/>
          <w:kern w:val="2"/>
          <w:sz w:val="28"/>
          <w:szCs w:val="28"/>
          <w:lang w:val="en-US" w:eastAsia="zh-CN" w:bidi="ar-SA"/>
        </w:rPr>
      </w:pPr>
      <w:r>
        <w:rPr>
          <w:rFonts w:hint="eastAsia" w:cs="Times New Roman"/>
          <w:kern w:val="2"/>
          <w:sz w:val="28"/>
          <w:szCs w:val="28"/>
          <w:lang w:val="en-US" w:eastAsia="zh-CN" w:bidi="ar-SA"/>
        </w:rPr>
        <w:t>5、负责各类退役军人服务工作。</w:t>
      </w:r>
    </w:p>
    <w:p>
      <w:pPr>
        <w:ind w:firstLine="560" w:firstLineChars="200"/>
        <w:rPr>
          <w:rFonts w:hint="default"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6、</w:t>
      </w:r>
      <w:r>
        <w:rPr>
          <w:rFonts w:hint="default" w:ascii="宋体" w:hAnsi="宋体" w:eastAsia="宋体" w:cs="Times New Roman"/>
          <w:kern w:val="2"/>
          <w:sz w:val="28"/>
          <w:szCs w:val="28"/>
          <w:lang w:val="en-US" w:eastAsia="zh-CN" w:bidi="ar-SA"/>
        </w:rPr>
        <w:t>承办镇党委、政府交办的其他任务。</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二、机构设置</w:t>
      </w:r>
    </w:p>
    <w:p>
      <w:pPr>
        <w:spacing w:before="156" w:beforeLines="50" w:after="156" w:afterLines="50"/>
        <w:ind w:firstLine="560" w:firstLineChars="200"/>
        <w:rPr>
          <w:rFonts w:hint="eastAsia" w:ascii="宋体" w:hAnsi="宋体"/>
          <w:sz w:val="28"/>
          <w:szCs w:val="28"/>
          <w:lang w:val="en-US" w:eastAsia="zh-CN"/>
        </w:rPr>
      </w:pPr>
      <w:r>
        <w:rPr>
          <w:rFonts w:hint="eastAsia" w:ascii="宋体" w:hAnsi="宋体"/>
          <w:sz w:val="28"/>
          <w:szCs w:val="28"/>
          <w:lang w:val="en-US" w:eastAsia="zh-CN"/>
        </w:rPr>
        <w:t>大冶市灵乡镇党群服务中心为独立编制预算单位，无下属科室及二级单位。</w:t>
      </w:r>
    </w:p>
    <w:p>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第二部分：</w:t>
      </w:r>
      <w:r>
        <w:rPr>
          <w:rStyle w:val="5"/>
          <w:rFonts w:hint="eastAsia" w:ascii="黑体" w:hAnsi="黑体" w:eastAsia="黑体" w:cs="黑体"/>
          <w:sz w:val="32"/>
          <w:szCs w:val="32"/>
          <w:rtl w:val="0"/>
        </w:rPr>
        <w:t>大冶市</w:t>
      </w:r>
      <w:r>
        <w:rPr>
          <w:rStyle w:val="5"/>
          <w:rFonts w:hint="eastAsia" w:ascii="黑体" w:hAnsi="黑体" w:eastAsia="黑体" w:cs="黑体"/>
          <w:sz w:val="32"/>
          <w:szCs w:val="32"/>
          <w:rtl w:val="0"/>
          <w:lang w:val="en-US" w:eastAsia="zh-CN"/>
        </w:rPr>
        <w:t>灵乡镇党群服务中心</w:t>
      </w:r>
      <w:r>
        <w:rPr>
          <w:rFonts w:hint="eastAsia" w:ascii="黑体" w:hAnsi="黑体" w:eastAsia="黑体" w:cs="黑体"/>
          <w:sz w:val="32"/>
          <w:szCs w:val="32"/>
          <w:u w:val="none"/>
          <w:rtl w:val="0"/>
          <w:lang w:val="en-US" w:eastAsia="zh-CN"/>
        </w:rPr>
        <w:t>2024年度部门决算报表</w:t>
      </w:r>
    </w:p>
    <w:tbl>
      <w:tblPr>
        <w:tblStyle w:val="4"/>
        <w:tblW w:w="5000" w:type="pct"/>
        <w:tblInd w:w="0" w:type="dxa"/>
        <w:tblLayout w:type="fixed"/>
        <w:tblCellMar>
          <w:top w:w="0" w:type="dxa"/>
          <w:left w:w="108" w:type="dxa"/>
          <w:bottom w:w="0" w:type="dxa"/>
          <w:right w:w="108" w:type="dxa"/>
        </w:tblCellMar>
      </w:tblPr>
      <w:tblGrid>
        <w:gridCol w:w="3584"/>
        <w:gridCol w:w="350"/>
        <w:gridCol w:w="1076"/>
        <w:gridCol w:w="3190"/>
        <w:gridCol w:w="614"/>
        <w:gridCol w:w="1148"/>
      </w:tblGrid>
      <w:tr>
        <w:tblPrEx>
          <w:tblCellMar>
            <w:top w:w="0" w:type="dxa"/>
            <w:left w:w="108" w:type="dxa"/>
            <w:bottom w:w="0" w:type="dxa"/>
            <w:right w:w="108" w:type="dxa"/>
          </w:tblCellMar>
        </w:tblPrEx>
        <w:trPr>
          <w:trHeight w:val="90" w:hRule="atLeast"/>
        </w:trPr>
        <w:tc>
          <w:tcPr>
            <w:tcW w:w="5000" w:type="pct"/>
            <w:gridSpan w:val="6"/>
            <w:tcBorders>
              <w:top w:val="nil"/>
              <w:left w:val="nil"/>
              <w:bottom w:val="nil"/>
              <w:right w:val="nil"/>
            </w:tcBorders>
            <w:shd w:val="clear" w:color="000000" w:fill="FFFFFF"/>
            <w:noWrap/>
            <w:vAlign w:val="center"/>
          </w:tcPr>
          <w:p>
            <w:pPr>
              <w:widowControl/>
              <w:rPr>
                <w:rFonts w:hint="eastAsia" w:ascii="宋体" w:hAnsi="宋体" w:cs="Arial"/>
                <w:color w:val="000000"/>
                <w:kern w:val="0"/>
                <w:sz w:val="30"/>
                <w:szCs w:val="30"/>
              </w:rPr>
            </w:pPr>
          </w:p>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公开01表</w:t>
            </w:r>
          </w:p>
        </w:tc>
      </w:tr>
      <w:tr>
        <w:tblPrEx>
          <w:tblCellMar>
            <w:top w:w="0" w:type="dxa"/>
            <w:left w:w="108" w:type="dxa"/>
            <w:bottom w:w="0" w:type="dxa"/>
            <w:right w:w="108" w:type="dxa"/>
          </w:tblCellMar>
        </w:tblPrEx>
        <w:trPr>
          <w:trHeight w:val="300" w:hRule="atLeast"/>
        </w:trPr>
        <w:tc>
          <w:tcPr>
            <w:tcW w:w="1798" w:type="pct"/>
            <w:tcBorders>
              <w:top w:val="nil"/>
              <w:left w:val="nil"/>
              <w:bottom w:val="single" w:color="000000" w:sz="4" w:space="0"/>
              <w:right w:val="nil"/>
            </w:tcBorders>
            <w:shd w:val="clear" w:color="000000" w:fill="FFFFFF"/>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灵乡镇党群服务中心</w:t>
            </w:r>
          </w:p>
        </w:tc>
        <w:tc>
          <w:tcPr>
            <w:tcW w:w="2316" w:type="pct"/>
            <w:gridSpan w:val="3"/>
            <w:tcBorders>
              <w:top w:val="nil"/>
              <w:left w:val="nil"/>
              <w:bottom w:val="single" w:color="000000" w:sz="4" w:space="0"/>
              <w:right w:val="nil"/>
            </w:tcBorders>
            <w:shd w:val="clear" w:color="000000" w:fill="FFFFFF"/>
            <w:noWrap/>
            <w:vAlign w:val="center"/>
          </w:tcPr>
          <w:p>
            <w:pPr>
              <w:widowControl/>
              <w:ind w:firstLine="960" w:firstLineChars="400"/>
              <w:rPr>
                <w:rFonts w:ascii="宋体" w:hAnsi="宋体" w:cs="Arial"/>
                <w:color w:val="000000"/>
                <w:kern w:val="0"/>
                <w:sz w:val="24"/>
                <w:szCs w:val="24"/>
              </w:rPr>
            </w:pPr>
            <w:r>
              <w:rPr>
                <w:rFonts w:hint="eastAsia" w:ascii="宋体" w:hAnsi="宋体" w:cs="Arial"/>
                <w:color w:val="000000"/>
                <w:kern w:val="0"/>
                <w:sz w:val="24"/>
                <w:szCs w:val="24"/>
              </w:rPr>
              <w:t xml:space="preserve"> </w:t>
            </w:r>
          </w:p>
        </w:tc>
        <w:tc>
          <w:tcPr>
            <w:tcW w:w="884" w:type="pct"/>
            <w:gridSpan w:val="2"/>
            <w:tcBorders>
              <w:top w:val="nil"/>
              <w:left w:val="nil"/>
              <w:bottom w:val="single" w:color="000000" w:sz="4" w:space="0"/>
              <w:right w:val="nil"/>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2514"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收入</w:t>
            </w:r>
          </w:p>
        </w:tc>
        <w:tc>
          <w:tcPr>
            <w:tcW w:w="2485" w:type="pct"/>
            <w:gridSpan w:val="3"/>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支出</w:t>
            </w: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金额</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金额</w:t>
            </w: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一、一般公共预算财政拨款收入</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95.96</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32</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95.96</w:t>
            </w: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二、政府性基金预算财政拨款收入</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33</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三、国有资本经营预算财政拨款收入</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34</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四、上级补助收入</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35</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五、事业收入</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36</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六、经营收入</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37</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七、附属单位上缴收入</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7</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38</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八、其他收入</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8</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39</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9</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40</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10</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41</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11</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42</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12</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43</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13</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44</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14</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45</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15</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46</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16</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47</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17</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48</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18</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49</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19</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50</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20</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51</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21</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52</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515"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22</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53</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23</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二十三、其他支出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54</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24</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二十四、债务还本支出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55</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25</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二十五、债务付息支出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56</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26</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57</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27</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bidi="ar-SA"/>
              </w:rPr>
            </w:pPr>
            <w:r>
              <w:rPr>
                <w:rFonts w:hint="eastAsia" w:ascii="宋体" w:hAnsi="宋体" w:cs="Arial"/>
                <w:kern w:val="0"/>
                <w:sz w:val="20"/>
                <w:szCs w:val="20"/>
                <w:lang w:val="en-US" w:eastAsia="zh-CN"/>
              </w:rPr>
              <w:t>95.96</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58</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95.96</w:t>
            </w: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使用非财政拨款结余</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28</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结余分配</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59</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年初结转和结余</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29</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hint="eastAsia" w:ascii="宋体" w:hAnsi="宋体" w:eastAsia="宋体" w:cs="Arial"/>
                <w:kern w:val="0"/>
                <w:sz w:val="20"/>
                <w:szCs w:val="20"/>
                <w:lang w:eastAsia="zh-CN"/>
              </w:rPr>
            </w:pPr>
            <w:r>
              <w:rPr>
                <w:rFonts w:hint="eastAsia" w:ascii="宋体" w:hAnsi="宋体" w:cs="Arial"/>
                <w:kern w:val="0"/>
                <w:sz w:val="20"/>
                <w:szCs w:val="20"/>
                <w:lang w:val="en-US" w:eastAsia="zh-CN"/>
              </w:rPr>
              <w:t>0</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年末结转和结余</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60</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bidi="ar-SA"/>
              </w:rPr>
            </w:pPr>
            <w:r>
              <w:rPr>
                <w:rFonts w:hint="eastAsia" w:ascii="宋体" w:hAnsi="宋体" w:cs="Arial"/>
                <w:kern w:val="0"/>
                <w:sz w:val="20"/>
                <w:szCs w:val="20"/>
                <w:lang w:val="en-US" w:eastAsia="zh-CN"/>
              </w:rPr>
              <w:t>95.96</w:t>
            </w: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175"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30</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61</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798" w:type="pct"/>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175" w:type="pct"/>
            <w:tcBorders>
              <w:top w:val="nil"/>
              <w:left w:val="nil"/>
              <w:bottom w:val="single" w:color="000000" w:sz="12"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31</w:t>
            </w:r>
          </w:p>
        </w:tc>
        <w:tc>
          <w:tcPr>
            <w:tcW w:w="540" w:type="pct"/>
            <w:tcBorders>
              <w:top w:val="nil"/>
              <w:left w:val="nil"/>
              <w:bottom w:val="single" w:color="000000" w:sz="4" w:space="0"/>
              <w:right w:val="single" w:color="000000" w:sz="4" w:space="0"/>
            </w:tcBorders>
            <w:shd w:val="clear" w:color="000000" w:fill="FFFFFF"/>
            <w:noWrap/>
            <w:vAlign w:val="center"/>
          </w:tcPr>
          <w:p>
            <w:pPr>
              <w:widowControl/>
              <w:jc w:val="right"/>
              <w:rPr>
                <w:rFonts w:hint="default" w:ascii="宋体" w:hAnsi="宋体" w:eastAsia="宋体" w:cs="Arial"/>
                <w:kern w:val="0"/>
                <w:sz w:val="20"/>
                <w:szCs w:val="20"/>
                <w:lang w:val="en-US" w:eastAsia="zh-CN" w:bidi="ar-SA"/>
              </w:rPr>
            </w:pPr>
            <w:r>
              <w:rPr>
                <w:rFonts w:hint="eastAsia" w:ascii="宋体" w:hAnsi="宋体" w:cs="Arial"/>
                <w:kern w:val="0"/>
                <w:sz w:val="20"/>
                <w:szCs w:val="20"/>
                <w:lang w:val="en-US" w:eastAsia="zh-CN"/>
              </w:rPr>
              <w:t>95.96</w:t>
            </w:r>
          </w:p>
        </w:tc>
        <w:tc>
          <w:tcPr>
            <w:tcW w:w="1601"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308" w:type="pc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62</w:t>
            </w:r>
          </w:p>
        </w:tc>
        <w:tc>
          <w:tcPr>
            <w:tcW w:w="57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kern w:val="0"/>
                <w:sz w:val="20"/>
                <w:szCs w:val="20"/>
              </w:rPr>
            </w:pPr>
            <w:r>
              <w:rPr>
                <w:rFonts w:hint="eastAsia" w:ascii="宋体" w:hAnsi="宋体" w:cs="Arial"/>
                <w:kern w:val="0"/>
                <w:sz w:val="20"/>
                <w:szCs w:val="20"/>
                <w:lang w:val="en-US" w:eastAsia="zh-CN"/>
              </w:rPr>
              <w:t>95.96</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注：本表反映部门本年度的总收支和年末结转结余情况。本套报表金额单位转换时可能存在尾数误差。</w:t>
            </w:r>
          </w:p>
        </w:tc>
      </w:tr>
    </w:tbl>
    <w:p>
      <w:pPr>
        <w:ind w:firstLine="640" w:firstLineChars="200"/>
        <w:rPr>
          <w:rFonts w:hint="eastAsia" w:ascii="宋体" w:hAnsi="宋体"/>
          <w:sz w:val="32"/>
          <w:szCs w:val="32"/>
        </w:rPr>
      </w:pPr>
    </w:p>
    <w:p>
      <w:pPr>
        <w:ind w:firstLine="640" w:firstLineChars="200"/>
        <w:rPr>
          <w:rFonts w:hint="eastAsia" w:ascii="宋体" w:hAnsi="宋体"/>
          <w:sz w:val="32"/>
          <w:szCs w:val="32"/>
        </w:rPr>
      </w:pPr>
    </w:p>
    <w:tbl>
      <w:tblPr>
        <w:tblStyle w:val="4"/>
        <w:tblW w:w="5000" w:type="pct"/>
        <w:tblInd w:w="0" w:type="dxa"/>
        <w:tblLayout w:type="autofit"/>
        <w:tblCellMar>
          <w:top w:w="0" w:type="dxa"/>
          <w:left w:w="108" w:type="dxa"/>
          <w:bottom w:w="0" w:type="dxa"/>
          <w:right w:w="108" w:type="dxa"/>
        </w:tblCellMar>
      </w:tblPr>
      <w:tblGrid>
        <w:gridCol w:w="365"/>
        <w:gridCol w:w="365"/>
        <w:gridCol w:w="365"/>
        <w:gridCol w:w="2421"/>
        <w:gridCol w:w="908"/>
        <w:gridCol w:w="1716"/>
        <w:gridCol w:w="416"/>
        <w:gridCol w:w="540"/>
        <w:gridCol w:w="554"/>
        <w:gridCol w:w="556"/>
        <w:gridCol w:w="1756"/>
      </w:tblGrid>
      <w:tr>
        <w:tblPrEx>
          <w:tblCellMar>
            <w:top w:w="0" w:type="dxa"/>
            <w:left w:w="108" w:type="dxa"/>
            <w:bottom w:w="0" w:type="dxa"/>
            <w:right w:w="108" w:type="dxa"/>
          </w:tblCellMar>
        </w:tblPrEx>
        <w:trPr>
          <w:trHeight w:val="375" w:hRule="atLeast"/>
        </w:trPr>
        <w:tc>
          <w:tcPr>
            <w:tcW w:w="153"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153"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153"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1015"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513"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861" w:type="pct"/>
            <w:tcBorders>
              <w:top w:val="nil"/>
              <w:left w:val="nil"/>
              <w:bottom w:val="nil"/>
              <w:right w:val="nil"/>
            </w:tcBorders>
            <w:shd w:val="clear" w:color="000000" w:fill="FFFFFF"/>
            <w:noWrap/>
            <w:vAlign w:val="center"/>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收入决算表</w:t>
            </w:r>
          </w:p>
        </w:tc>
        <w:tc>
          <w:tcPr>
            <w:tcW w:w="259"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335"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335"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336"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881"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r>
      <w:tr>
        <w:trPr>
          <w:trHeight w:val="300" w:hRule="atLeast"/>
        </w:trPr>
        <w:tc>
          <w:tcPr>
            <w:tcW w:w="153"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153"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153"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1015"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513"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861"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259"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335"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335"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336" w:type="pct"/>
            <w:tcBorders>
              <w:top w:val="nil"/>
              <w:left w:val="nil"/>
              <w:bottom w:val="nil"/>
              <w:right w:val="nil"/>
            </w:tcBorders>
            <w:shd w:val="clear" w:color="000000" w:fill="FFFFFF"/>
            <w:noWrap/>
            <w:vAlign w:val="center"/>
          </w:tcPr>
          <w:p>
            <w:pPr>
              <w:widowControl/>
              <w:jc w:val="left"/>
              <w:rPr>
                <w:rFonts w:ascii="宋体" w:hAnsi="宋体" w:cs="Arial"/>
                <w:kern w:val="0"/>
                <w:sz w:val="18"/>
                <w:szCs w:val="18"/>
              </w:rPr>
            </w:pPr>
            <w:r>
              <w:rPr>
                <w:rFonts w:hint="eastAsia" w:ascii="宋体" w:hAnsi="宋体" w:cs="Arial"/>
                <w:kern w:val="0"/>
                <w:sz w:val="18"/>
                <w:szCs w:val="18"/>
              </w:rPr>
              <w:t>　</w:t>
            </w:r>
          </w:p>
        </w:tc>
        <w:tc>
          <w:tcPr>
            <w:tcW w:w="881" w:type="pct"/>
            <w:tcBorders>
              <w:top w:val="nil"/>
              <w:left w:val="nil"/>
              <w:bottom w:val="nil"/>
              <w:right w:val="nil"/>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公开02表</w:t>
            </w:r>
          </w:p>
        </w:tc>
      </w:tr>
      <w:tr>
        <w:tblPrEx>
          <w:tblCellMar>
            <w:top w:w="0" w:type="dxa"/>
            <w:left w:w="108" w:type="dxa"/>
            <w:bottom w:w="0" w:type="dxa"/>
            <w:right w:w="108" w:type="dxa"/>
          </w:tblCellMar>
        </w:tblPrEx>
        <w:trPr>
          <w:trHeight w:val="300" w:hRule="atLeast"/>
        </w:trPr>
        <w:tc>
          <w:tcPr>
            <w:tcW w:w="1475" w:type="pct"/>
            <w:gridSpan w:val="4"/>
            <w:tcBorders>
              <w:top w:val="nil"/>
              <w:left w:val="nil"/>
              <w:bottom w:val="single" w:color="000000" w:sz="4" w:space="0"/>
              <w:right w:val="nil"/>
            </w:tcBorders>
            <w:shd w:val="clear" w:color="000000" w:fill="FFFFFF"/>
            <w:noWrap/>
            <w:vAlign w:val="center"/>
          </w:tcPr>
          <w:p>
            <w:pPr>
              <w:widowControl/>
              <w:jc w:val="left"/>
              <w:rPr>
                <w:rFonts w:hint="default" w:ascii="宋体" w:hAnsi="宋体" w:eastAsia="宋体" w:cs="Arial"/>
                <w:color w:val="000000"/>
                <w:kern w:val="0"/>
                <w:sz w:val="22"/>
                <w:lang w:val="en-US" w:eastAsia="zh-CN"/>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灵乡镇党群服务中心</w:t>
            </w:r>
          </w:p>
        </w:tc>
        <w:tc>
          <w:tcPr>
            <w:tcW w:w="513" w:type="pct"/>
            <w:tcBorders>
              <w:top w:val="nil"/>
              <w:left w:val="nil"/>
              <w:bottom w:val="single" w:color="000000" w:sz="4" w:space="0"/>
              <w:right w:val="nil"/>
            </w:tcBorders>
            <w:shd w:val="clear" w:color="000000" w:fill="FFFFFF"/>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861" w:type="pct"/>
            <w:tcBorders>
              <w:top w:val="nil"/>
              <w:left w:val="nil"/>
              <w:bottom w:val="single" w:color="000000" w:sz="4" w:space="0"/>
              <w:right w:val="nil"/>
            </w:tcBorders>
            <w:shd w:val="clear" w:color="000000" w:fill="FFFFFF"/>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w:t>
            </w:r>
          </w:p>
        </w:tc>
        <w:tc>
          <w:tcPr>
            <w:tcW w:w="259" w:type="pct"/>
            <w:tcBorders>
              <w:top w:val="nil"/>
              <w:left w:val="nil"/>
              <w:bottom w:val="single" w:color="000000" w:sz="4" w:space="0"/>
              <w:right w:val="nil"/>
            </w:tcBorders>
            <w:shd w:val="clear" w:color="000000" w:fill="FFFFFF"/>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335" w:type="pct"/>
            <w:tcBorders>
              <w:top w:val="nil"/>
              <w:left w:val="nil"/>
              <w:bottom w:val="single" w:color="000000" w:sz="4" w:space="0"/>
              <w:right w:val="nil"/>
            </w:tcBorders>
            <w:shd w:val="clear" w:color="000000" w:fill="FFFFFF"/>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335" w:type="pct"/>
            <w:tcBorders>
              <w:top w:val="nil"/>
              <w:left w:val="nil"/>
              <w:bottom w:val="single" w:color="000000" w:sz="4" w:space="0"/>
              <w:right w:val="nil"/>
            </w:tcBorders>
            <w:shd w:val="clear" w:color="000000" w:fill="FFFFFF"/>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336" w:type="pct"/>
            <w:tcBorders>
              <w:top w:val="nil"/>
              <w:left w:val="nil"/>
              <w:bottom w:val="single" w:color="000000" w:sz="4" w:space="0"/>
              <w:right w:val="nil"/>
            </w:tcBorders>
            <w:shd w:val="clear" w:color="000000" w:fill="FFFFFF"/>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881" w:type="pct"/>
            <w:tcBorders>
              <w:top w:val="nil"/>
              <w:left w:val="nil"/>
              <w:bottom w:val="single" w:color="000000" w:sz="4" w:space="0"/>
              <w:right w:val="nil"/>
            </w:tcBorders>
            <w:shd w:val="clear" w:color="000000" w:fill="FFFFFF"/>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trPr>
          <w:trHeight w:val="300" w:hRule="atLeast"/>
        </w:trPr>
        <w:tc>
          <w:tcPr>
            <w:tcW w:w="1475" w:type="pct"/>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513" w:type="pct"/>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本年收入合计</w:t>
            </w:r>
          </w:p>
        </w:tc>
        <w:tc>
          <w:tcPr>
            <w:tcW w:w="861" w:type="pct"/>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财政拨款收入</w:t>
            </w:r>
          </w:p>
        </w:tc>
        <w:tc>
          <w:tcPr>
            <w:tcW w:w="259" w:type="pct"/>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上级补助收入</w:t>
            </w:r>
          </w:p>
        </w:tc>
        <w:tc>
          <w:tcPr>
            <w:tcW w:w="335" w:type="pct"/>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事业收入</w:t>
            </w:r>
          </w:p>
        </w:tc>
        <w:tc>
          <w:tcPr>
            <w:tcW w:w="335" w:type="pct"/>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经营收入</w:t>
            </w:r>
          </w:p>
        </w:tc>
        <w:tc>
          <w:tcPr>
            <w:tcW w:w="336" w:type="pct"/>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附属单位上缴收入</w:t>
            </w:r>
          </w:p>
        </w:tc>
        <w:tc>
          <w:tcPr>
            <w:tcW w:w="881" w:type="pct"/>
            <w:vMerge w:val="restar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其他收入</w:t>
            </w:r>
          </w:p>
        </w:tc>
      </w:tr>
      <w:tr>
        <w:trPr>
          <w:trHeight w:val="312" w:hRule="atLeast"/>
        </w:trPr>
        <w:tc>
          <w:tcPr>
            <w:tcW w:w="459" w:type="pct"/>
            <w:gridSpan w:val="3"/>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1015" w:type="pct"/>
            <w:vMerge w:val="restart"/>
            <w:tcBorders>
              <w:top w:val="nil"/>
              <w:left w:val="nil"/>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513"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61"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259"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33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33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336"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81"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459"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01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13"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61"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259"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33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33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336"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81"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459"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01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13"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61"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259"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33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33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336"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81"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475" w:type="pct"/>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cs="Arial"/>
                <w:kern w:val="0"/>
                <w:sz w:val="20"/>
                <w:szCs w:val="20"/>
              </w:rPr>
            </w:pPr>
            <w:r>
              <w:rPr>
                <w:rFonts w:hint="eastAsia" w:ascii="宋体" w:hAnsi="宋体" w:cs="Arial"/>
                <w:kern w:val="0"/>
                <w:sz w:val="20"/>
                <w:szCs w:val="20"/>
              </w:rPr>
              <w:t>栏次</w:t>
            </w:r>
          </w:p>
        </w:tc>
        <w:tc>
          <w:tcPr>
            <w:tcW w:w="513"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86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259"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33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335"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336"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c>
          <w:tcPr>
            <w:tcW w:w="881" w:type="pct"/>
            <w:tcBorders>
              <w:top w:val="nil"/>
              <w:left w:val="nil"/>
              <w:bottom w:val="single" w:color="000000" w:sz="4" w:space="0"/>
              <w:right w:val="single" w:color="000000" w:sz="4" w:space="0"/>
            </w:tcBorders>
            <w:shd w:val="clear" w:color="000000" w:fill="FFFFFF"/>
            <w:noWrap w:val="0"/>
            <w:vAlign w:val="center"/>
          </w:tcPr>
          <w:p>
            <w:pPr>
              <w:widowControl/>
              <w:jc w:val="center"/>
              <w:rPr>
                <w:rFonts w:ascii="宋体" w:hAnsi="宋体" w:cs="Arial"/>
                <w:kern w:val="0"/>
                <w:sz w:val="20"/>
                <w:szCs w:val="20"/>
              </w:rPr>
            </w:pPr>
            <w:r>
              <w:rPr>
                <w:rFonts w:hint="eastAsia" w:ascii="宋体" w:hAnsi="宋体" w:cs="Arial"/>
                <w:kern w:val="0"/>
                <w:sz w:val="20"/>
                <w:szCs w:val="20"/>
              </w:rPr>
              <w:t>7</w:t>
            </w:r>
          </w:p>
        </w:tc>
      </w:tr>
      <w:tr>
        <w:tblPrEx>
          <w:tblCellMar>
            <w:top w:w="0" w:type="dxa"/>
            <w:left w:w="108" w:type="dxa"/>
            <w:bottom w:w="0" w:type="dxa"/>
            <w:right w:w="108" w:type="dxa"/>
          </w:tblCellMar>
        </w:tblPrEx>
        <w:trPr>
          <w:trHeight w:val="300" w:hRule="atLeast"/>
        </w:trPr>
        <w:tc>
          <w:tcPr>
            <w:tcW w:w="1475" w:type="pct"/>
            <w:gridSpan w:val="4"/>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合计</w:t>
            </w:r>
          </w:p>
        </w:tc>
        <w:tc>
          <w:tcPr>
            <w:tcW w:w="51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rPr>
              <w:t>95.96</w:t>
            </w:r>
          </w:p>
        </w:tc>
        <w:tc>
          <w:tcPr>
            <w:tcW w:w="86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rPr>
              <w:t>95.96</w:t>
            </w:r>
          </w:p>
        </w:tc>
        <w:tc>
          <w:tcPr>
            <w:tcW w:w="2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8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459" w:type="pct"/>
            <w:gridSpan w:val="3"/>
            <w:tcBorders>
              <w:top w:val="nil"/>
              <w:left w:val="single" w:color="000000" w:sz="4" w:space="0"/>
              <w:bottom w:val="single" w:color="000000" w:sz="4" w:space="0"/>
              <w:right w:val="single" w:color="000000" w:sz="4" w:space="0"/>
            </w:tcBorders>
            <w:shd w:val="clear" w:color="000000" w:fill="FFFFFF"/>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2010399</w:t>
            </w:r>
          </w:p>
        </w:tc>
        <w:tc>
          <w:tcPr>
            <w:tcW w:w="1015" w:type="pct"/>
            <w:tcBorders>
              <w:top w:val="nil"/>
              <w:left w:val="nil"/>
              <w:bottom w:val="single" w:color="000000" w:sz="4" w:space="0"/>
              <w:right w:val="single" w:color="000000" w:sz="4" w:space="0"/>
            </w:tcBorders>
            <w:shd w:val="clear" w:color="000000" w:fill="FFFFFF"/>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一般公共服务支出</w:t>
            </w:r>
          </w:p>
        </w:tc>
        <w:tc>
          <w:tcPr>
            <w:tcW w:w="513"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rPr>
              <w:t>95.96</w:t>
            </w:r>
          </w:p>
        </w:tc>
        <w:tc>
          <w:tcPr>
            <w:tcW w:w="86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rPr>
              <w:t>95.96</w:t>
            </w:r>
          </w:p>
        </w:tc>
        <w:tc>
          <w:tcPr>
            <w:tcW w:w="259"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5"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336"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81" w:type="pct"/>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000000" w:fill="FFFFFF"/>
            <w:noWrap/>
            <w:vAlign w:val="center"/>
          </w:tcPr>
          <w:p>
            <w:pPr>
              <w:widowControl/>
              <w:jc w:val="left"/>
              <w:rPr>
                <w:rFonts w:ascii="宋体" w:hAnsi="宋体" w:cs="Arial"/>
                <w:kern w:val="0"/>
                <w:sz w:val="20"/>
                <w:szCs w:val="20"/>
              </w:rPr>
            </w:pPr>
            <w:r>
              <w:rPr>
                <w:rFonts w:hint="eastAsia" w:ascii="宋体" w:hAnsi="宋体" w:cs="Arial"/>
                <w:kern w:val="0"/>
                <w:sz w:val="20"/>
                <w:szCs w:val="20"/>
              </w:rPr>
              <w:t>注：本表反映部门本年度取得的各项收入情况。</w:t>
            </w:r>
          </w:p>
        </w:tc>
      </w:tr>
    </w:tbl>
    <w:p>
      <w:pPr>
        <w:ind w:firstLine="640" w:firstLineChars="200"/>
        <w:rPr>
          <w:rFonts w:hint="eastAsia" w:ascii="宋体" w:hAnsi="宋体"/>
          <w:sz w:val="32"/>
          <w:szCs w:val="32"/>
        </w:rPr>
      </w:pPr>
    </w:p>
    <w:p>
      <w:pPr>
        <w:ind w:firstLine="640" w:firstLineChars="200"/>
        <w:rPr>
          <w:rFonts w:hint="eastAsia" w:ascii="宋体" w:hAnsi="宋体"/>
          <w:sz w:val="32"/>
          <w:szCs w:val="32"/>
        </w:rPr>
      </w:pPr>
    </w:p>
    <w:tbl>
      <w:tblPr>
        <w:tblStyle w:val="4"/>
        <w:tblW w:w="0" w:type="auto"/>
        <w:tblInd w:w="0" w:type="dxa"/>
        <w:tblLayout w:type="autofit"/>
        <w:tblCellMar>
          <w:top w:w="0" w:type="dxa"/>
          <w:left w:w="108" w:type="dxa"/>
          <w:bottom w:w="0" w:type="dxa"/>
          <w:right w:w="108" w:type="dxa"/>
        </w:tblCellMar>
      </w:tblPr>
      <w:tblGrid>
        <w:gridCol w:w="291"/>
        <w:gridCol w:w="291"/>
        <w:gridCol w:w="291"/>
        <w:gridCol w:w="3339"/>
        <w:gridCol w:w="1316"/>
        <w:gridCol w:w="942"/>
        <w:gridCol w:w="877"/>
        <w:gridCol w:w="736"/>
        <w:gridCol w:w="735"/>
        <w:gridCol w:w="1144"/>
      </w:tblGrid>
      <w:tr>
        <w:tblPrEx>
          <w:tblCellMar>
            <w:top w:w="0" w:type="dxa"/>
            <w:left w:w="108" w:type="dxa"/>
            <w:bottom w:w="0" w:type="dxa"/>
            <w:right w:w="108" w:type="dxa"/>
          </w:tblCellMar>
        </w:tblPrEx>
        <w:trPr>
          <w:trHeight w:val="375" w:hRule="atLeast"/>
        </w:trPr>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gridSpan w:val="9"/>
            <w:tcBorders>
              <w:top w:val="nil"/>
              <w:left w:val="nil"/>
              <w:bottom w:val="nil"/>
              <w:right w:val="nil"/>
            </w:tcBorders>
            <w:noWrap/>
            <w:vAlign w:val="center"/>
          </w:tcPr>
          <w:p>
            <w:pPr>
              <w:widowControl/>
              <w:jc w:val="center"/>
              <w:rPr>
                <w:rFonts w:ascii="宋体" w:hAnsi="宋体" w:cs="Arial"/>
                <w:kern w:val="0"/>
                <w:sz w:val="18"/>
                <w:szCs w:val="18"/>
              </w:rPr>
            </w:pPr>
            <w:r>
              <w:rPr>
                <w:rFonts w:hint="eastAsia" w:ascii="宋体" w:hAnsi="宋体" w:cs="Arial"/>
                <w:color w:val="000000"/>
                <w:kern w:val="0"/>
                <w:sz w:val="30"/>
                <w:szCs w:val="30"/>
              </w:rPr>
              <w:t>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pPr>
              <w:widowControl/>
              <w:jc w:val="left"/>
              <w:rPr>
                <w:rFonts w:ascii="宋体" w:hAnsi="宋体" w:cs="Arial"/>
                <w:kern w:val="0"/>
                <w:sz w:val="18"/>
                <w:szCs w:val="18"/>
              </w:rPr>
            </w:pPr>
          </w:p>
        </w:tc>
        <w:tc>
          <w:tcPr>
            <w:tcW w:w="1560" w:type="dxa"/>
            <w:tcBorders>
              <w:top w:val="nil"/>
              <w:left w:val="nil"/>
              <w:bottom w:val="nil"/>
              <w:right w:val="nil"/>
            </w:tcBorders>
            <w:noWrap/>
            <w:vAlign w:val="center"/>
          </w:tcPr>
          <w:p>
            <w:pPr>
              <w:widowControl/>
              <w:jc w:val="left"/>
              <w:rPr>
                <w:rFonts w:ascii="宋体" w:hAnsi="宋体" w:cs="Arial"/>
                <w:kern w:val="0"/>
                <w:sz w:val="18"/>
                <w:szCs w:val="18"/>
              </w:rPr>
            </w:pPr>
          </w:p>
        </w:tc>
        <w:tc>
          <w:tcPr>
            <w:tcW w:w="1103" w:type="dxa"/>
            <w:tcBorders>
              <w:top w:val="nil"/>
              <w:left w:val="nil"/>
              <w:bottom w:val="nil"/>
              <w:right w:val="nil"/>
            </w:tcBorders>
            <w:noWrap/>
            <w:vAlign w:val="center"/>
          </w:tcPr>
          <w:p>
            <w:pPr>
              <w:widowControl/>
              <w:jc w:val="left"/>
              <w:rPr>
                <w:rFonts w:ascii="宋体" w:hAnsi="宋体" w:cs="Arial"/>
                <w:kern w:val="0"/>
                <w:sz w:val="18"/>
                <w:szCs w:val="18"/>
              </w:rPr>
            </w:pPr>
          </w:p>
        </w:tc>
        <w:tc>
          <w:tcPr>
            <w:tcW w:w="1023" w:type="dxa"/>
            <w:tcBorders>
              <w:top w:val="nil"/>
              <w:left w:val="nil"/>
              <w:bottom w:val="nil"/>
              <w:right w:val="nil"/>
            </w:tcBorders>
            <w:noWrap/>
            <w:vAlign w:val="center"/>
          </w:tcPr>
          <w:p>
            <w:pPr>
              <w:widowControl/>
              <w:jc w:val="left"/>
              <w:rPr>
                <w:rFonts w:ascii="宋体" w:hAnsi="宋体" w:cs="Arial"/>
                <w:kern w:val="0"/>
                <w:sz w:val="18"/>
                <w:szCs w:val="18"/>
              </w:rPr>
            </w:pPr>
          </w:p>
        </w:tc>
        <w:tc>
          <w:tcPr>
            <w:tcW w:w="851" w:type="dxa"/>
            <w:tcBorders>
              <w:top w:val="nil"/>
              <w:left w:val="nil"/>
              <w:bottom w:val="nil"/>
              <w:right w:val="nil"/>
            </w:tcBorders>
            <w:noWrap/>
            <w:vAlign w:val="center"/>
          </w:tcPr>
          <w:p>
            <w:pPr>
              <w:widowControl/>
              <w:jc w:val="left"/>
              <w:rPr>
                <w:rFonts w:ascii="宋体" w:hAnsi="宋体" w:cs="Arial"/>
                <w:kern w:val="0"/>
                <w:sz w:val="18"/>
                <w:szCs w:val="18"/>
              </w:rPr>
            </w:pPr>
          </w:p>
        </w:tc>
        <w:tc>
          <w:tcPr>
            <w:tcW w:w="850" w:type="dxa"/>
            <w:tcBorders>
              <w:top w:val="nil"/>
              <w:left w:val="nil"/>
              <w:bottom w:val="nil"/>
              <w:right w:val="nil"/>
            </w:tcBorders>
            <w:noWrap/>
            <w:vAlign w:val="center"/>
          </w:tcPr>
          <w:p>
            <w:pPr>
              <w:widowControl/>
              <w:jc w:val="left"/>
              <w:rPr>
                <w:rFonts w:ascii="宋体" w:hAnsi="宋体" w:cs="Arial"/>
                <w:kern w:val="0"/>
                <w:sz w:val="18"/>
                <w:szCs w:val="18"/>
              </w:rPr>
            </w:pPr>
          </w:p>
        </w:tc>
        <w:tc>
          <w:tcPr>
            <w:tcW w:w="1349" w:type="dxa"/>
            <w:tcBorders>
              <w:top w:val="nil"/>
              <w:left w:val="nil"/>
              <w:bottom w:val="nil"/>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公开03表</w:t>
            </w:r>
          </w:p>
        </w:tc>
      </w:tr>
      <w:tr>
        <w:tblPrEx>
          <w:tblCellMar>
            <w:top w:w="0" w:type="dxa"/>
            <w:left w:w="108" w:type="dxa"/>
            <w:bottom w:w="0" w:type="dxa"/>
            <w:right w:w="108" w:type="dxa"/>
          </w:tblCellMar>
        </w:tblPrEx>
        <w:trPr>
          <w:trHeight w:val="300" w:hRule="atLeast"/>
        </w:trPr>
        <w:tc>
          <w:tcPr>
            <w:tcW w:w="0" w:type="auto"/>
            <w:gridSpan w:val="4"/>
            <w:tcBorders>
              <w:top w:val="nil"/>
              <w:left w:val="nil"/>
              <w:bottom w:val="single" w:color="000000" w:sz="4" w:space="0"/>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灵乡镇党群服务中心</w:t>
            </w:r>
          </w:p>
        </w:tc>
        <w:tc>
          <w:tcPr>
            <w:tcW w:w="3686" w:type="dxa"/>
            <w:gridSpan w:val="3"/>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w:t>
            </w:r>
          </w:p>
        </w:tc>
        <w:tc>
          <w:tcPr>
            <w:tcW w:w="851" w:type="dxa"/>
            <w:tcBorders>
              <w:top w:val="nil"/>
              <w:left w:val="nil"/>
              <w:bottom w:val="single" w:color="000000" w:sz="4" w:space="0"/>
              <w:right w:val="nil"/>
            </w:tcBorders>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2199" w:type="dxa"/>
            <w:gridSpan w:val="2"/>
            <w:tcBorders>
              <w:top w:val="nil"/>
              <w:left w:val="nil"/>
              <w:bottom w:val="single" w:color="000000" w:sz="4" w:space="0"/>
              <w:right w:val="nil"/>
            </w:tcBorders>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p>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156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本年支出合计</w:t>
            </w:r>
          </w:p>
        </w:tc>
        <w:tc>
          <w:tcPr>
            <w:tcW w:w="1103"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023"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项目支出</w:t>
            </w:r>
          </w:p>
        </w:tc>
        <w:tc>
          <w:tcPr>
            <w:tcW w:w="85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上缴上级支出</w:t>
            </w:r>
          </w:p>
        </w:tc>
        <w:tc>
          <w:tcPr>
            <w:tcW w:w="850" w:type="dxa"/>
            <w:vMerge w:val="restart"/>
            <w:tcBorders>
              <w:top w:val="nil"/>
              <w:left w:val="nil"/>
              <w:bottom w:val="single" w:color="000000" w:sz="4" w:space="0"/>
              <w:right w:val="single" w:color="000000" w:sz="4" w:space="0"/>
            </w:tcBorders>
            <w:noWrap w:val="0"/>
            <w:vAlign w:val="center"/>
          </w:tcPr>
          <w:p>
            <w:pPr>
              <w:widowControl/>
              <w:jc w:val="center"/>
              <w:rPr>
                <w:rFonts w:hint="eastAsia" w:ascii="宋体" w:hAnsi="宋体" w:cs="Arial"/>
                <w:kern w:val="0"/>
                <w:sz w:val="20"/>
                <w:szCs w:val="20"/>
              </w:rPr>
            </w:pPr>
            <w:r>
              <w:rPr>
                <w:rFonts w:hint="eastAsia" w:ascii="宋体" w:hAnsi="宋体" w:cs="Arial"/>
                <w:kern w:val="0"/>
                <w:sz w:val="20"/>
                <w:szCs w:val="20"/>
              </w:rPr>
              <w:t>经营</w:t>
            </w:r>
          </w:p>
          <w:p>
            <w:pPr>
              <w:widowControl/>
              <w:jc w:val="center"/>
              <w:rPr>
                <w:rFonts w:ascii="宋体" w:hAnsi="宋体" w:cs="Arial"/>
                <w:kern w:val="0"/>
                <w:sz w:val="20"/>
                <w:szCs w:val="20"/>
              </w:rPr>
            </w:pPr>
            <w:r>
              <w:rPr>
                <w:rFonts w:hint="eastAsia" w:ascii="宋体" w:hAnsi="宋体" w:cs="Arial"/>
                <w:kern w:val="0"/>
                <w:sz w:val="20"/>
                <w:szCs w:val="20"/>
              </w:rPr>
              <w:t>支出</w:t>
            </w:r>
          </w:p>
        </w:tc>
        <w:tc>
          <w:tcPr>
            <w:tcW w:w="1349"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0" w:type="auto"/>
            <w:vMerge w:val="restar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156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10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02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349"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56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10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02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349"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56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10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02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349"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栏次</w:t>
            </w:r>
          </w:p>
        </w:tc>
        <w:tc>
          <w:tcPr>
            <w:tcW w:w="1560" w:type="dxa"/>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1103" w:type="dxa"/>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1023" w:type="dxa"/>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851" w:type="dxa"/>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850" w:type="dxa"/>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1349" w:type="dxa"/>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合计</w:t>
            </w:r>
          </w:p>
        </w:tc>
        <w:tc>
          <w:tcPr>
            <w:tcW w:w="15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95.96</w:t>
            </w:r>
          </w:p>
        </w:tc>
        <w:tc>
          <w:tcPr>
            <w:tcW w:w="110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94.87</w:t>
            </w:r>
          </w:p>
        </w:tc>
        <w:tc>
          <w:tcPr>
            <w:tcW w:w="102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1.09</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349" w:type="dxa"/>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2010399</w:t>
            </w:r>
          </w:p>
        </w:tc>
        <w:tc>
          <w:tcPr>
            <w:tcW w:w="0" w:type="auto"/>
            <w:tcBorders>
              <w:top w:val="nil"/>
              <w:left w:val="nil"/>
              <w:bottom w:val="single" w:color="000000" w:sz="4" w:space="0"/>
              <w:right w:val="single" w:color="000000" w:sz="4" w:space="0"/>
            </w:tcBorders>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其他政府办公厅（室）及相关机构事务支出</w:t>
            </w:r>
          </w:p>
        </w:tc>
        <w:tc>
          <w:tcPr>
            <w:tcW w:w="1560"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95.96</w:t>
            </w:r>
          </w:p>
        </w:tc>
        <w:tc>
          <w:tcPr>
            <w:tcW w:w="110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94.87</w:t>
            </w:r>
          </w:p>
        </w:tc>
        <w:tc>
          <w:tcPr>
            <w:tcW w:w="1023"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1.09</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349" w:type="dxa"/>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注：本表反映部门本年度各项支出情况。</w:t>
            </w:r>
          </w:p>
        </w:tc>
      </w:tr>
    </w:tbl>
    <w:p>
      <w:pPr>
        <w:ind w:firstLine="640" w:firstLineChars="200"/>
        <w:rPr>
          <w:rFonts w:hint="eastAsia" w:ascii="宋体" w:hAnsi="宋体"/>
          <w:sz w:val="32"/>
          <w:szCs w:val="32"/>
        </w:rPr>
      </w:pPr>
    </w:p>
    <w:p>
      <w:pPr>
        <w:ind w:firstLine="640" w:firstLineChars="200"/>
        <w:rPr>
          <w:rFonts w:hint="eastAsia" w:ascii="宋体" w:hAnsi="宋体"/>
          <w:sz w:val="32"/>
          <w:szCs w:val="32"/>
        </w:rPr>
      </w:pPr>
    </w:p>
    <w:p>
      <w:pPr>
        <w:ind w:firstLine="640" w:firstLineChars="200"/>
        <w:rPr>
          <w:rFonts w:hint="eastAsia" w:ascii="宋体" w:hAnsi="宋体"/>
          <w:sz w:val="32"/>
          <w:szCs w:val="32"/>
        </w:rPr>
      </w:pPr>
    </w:p>
    <w:tbl>
      <w:tblPr>
        <w:tblStyle w:val="4"/>
        <w:tblW w:w="0" w:type="auto"/>
        <w:tblInd w:w="0" w:type="dxa"/>
        <w:tblLayout w:type="fixed"/>
        <w:tblCellMar>
          <w:top w:w="0" w:type="dxa"/>
          <w:left w:w="108" w:type="dxa"/>
          <w:bottom w:w="0" w:type="dxa"/>
          <w:right w:w="108" w:type="dxa"/>
        </w:tblCellMar>
      </w:tblPr>
      <w:tblGrid>
        <w:gridCol w:w="1809"/>
        <w:gridCol w:w="325"/>
        <w:gridCol w:w="101"/>
        <w:gridCol w:w="262"/>
        <w:gridCol w:w="806"/>
        <w:gridCol w:w="1908"/>
        <w:gridCol w:w="567"/>
        <w:gridCol w:w="1134"/>
        <w:gridCol w:w="530"/>
        <w:gridCol w:w="604"/>
        <w:gridCol w:w="851"/>
        <w:gridCol w:w="1065"/>
      </w:tblGrid>
      <w:tr>
        <w:tblPrEx>
          <w:tblCellMar>
            <w:top w:w="0" w:type="dxa"/>
            <w:left w:w="108" w:type="dxa"/>
            <w:bottom w:w="0" w:type="dxa"/>
            <w:right w:w="108" w:type="dxa"/>
          </w:tblCellMar>
        </w:tblPrEx>
        <w:trPr>
          <w:trHeight w:val="375" w:hRule="atLeast"/>
        </w:trPr>
        <w:tc>
          <w:tcPr>
            <w:tcW w:w="9962" w:type="dxa"/>
            <w:gridSpan w:val="12"/>
            <w:tcBorders>
              <w:top w:val="nil"/>
              <w:left w:val="nil"/>
              <w:right w:val="nil"/>
            </w:tcBorders>
            <w:noWrap/>
            <w:vAlign w:val="center"/>
          </w:tcPr>
          <w:p>
            <w:pPr>
              <w:widowControl/>
              <w:jc w:val="center"/>
              <w:rPr>
                <w:rFonts w:ascii="宋体" w:hAnsi="宋体" w:cs="Arial"/>
                <w:kern w:val="0"/>
                <w:sz w:val="18"/>
                <w:szCs w:val="18"/>
              </w:rPr>
            </w:pPr>
            <w:r>
              <w:rPr>
                <w:rFonts w:hint="eastAsia" w:ascii="宋体" w:hAnsi="宋体" w:cs="Arial"/>
                <w:color w:val="000000"/>
                <w:kern w:val="0"/>
                <w:sz w:val="30"/>
                <w:szCs w:val="30"/>
              </w:rPr>
              <w:t>财政拨款收入支出决算总表</w:t>
            </w:r>
          </w:p>
        </w:tc>
      </w:tr>
      <w:tr>
        <w:tblPrEx>
          <w:tblCellMar>
            <w:top w:w="0" w:type="dxa"/>
            <w:left w:w="108" w:type="dxa"/>
            <w:bottom w:w="0" w:type="dxa"/>
            <w:right w:w="108" w:type="dxa"/>
          </w:tblCellMar>
        </w:tblPrEx>
        <w:trPr>
          <w:trHeight w:val="300" w:hRule="atLeast"/>
        </w:trPr>
        <w:tc>
          <w:tcPr>
            <w:tcW w:w="2134" w:type="dxa"/>
            <w:gridSpan w:val="2"/>
            <w:tcBorders>
              <w:top w:val="nil"/>
              <w:left w:val="nil"/>
              <w:right w:val="nil"/>
            </w:tcBorders>
            <w:noWrap/>
            <w:vAlign w:val="center"/>
          </w:tcPr>
          <w:p>
            <w:pPr>
              <w:widowControl/>
              <w:jc w:val="left"/>
              <w:rPr>
                <w:rFonts w:hint="eastAsia" w:ascii="宋体" w:hAnsi="宋体" w:cs="Arial"/>
                <w:color w:val="000000"/>
                <w:kern w:val="0"/>
                <w:sz w:val="22"/>
              </w:rPr>
            </w:pPr>
          </w:p>
        </w:tc>
        <w:tc>
          <w:tcPr>
            <w:tcW w:w="363" w:type="dxa"/>
            <w:gridSpan w:val="2"/>
            <w:tcBorders>
              <w:top w:val="nil"/>
              <w:left w:val="nil"/>
              <w:right w:val="nil"/>
            </w:tcBorders>
            <w:noWrap/>
            <w:vAlign w:val="center"/>
          </w:tcPr>
          <w:p>
            <w:pPr>
              <w:widowControl/>
              <w:jc w:val="center"/>
              <w:rPr>
                <w:rFonts w:hint="eastAsia" w:ascii="宋体" w:hAnsi="宋体" w:cs="Arial"/>
                <w:kern w:val="0"/>
                <w:sz w:val="18"/>
                <w:szCs w:val="18"/>
              </w:rPr>
            </w:pPr>
          </w:p>
        </w:tc>
        <w:tc>
          <w:tcPr>
            <w:tcW w:w="806" w:type="dxa"/>
            <w:tcBorders>
              <w:top w:val="nil"/>
              <w:left w:val="nil"/>
              <w:right w:val="nil"/>
            </w:tcBorders>
            <w:noWrap/>
            <w:vAlign w:val="center"/>
          </w:tcPr>
          <w:p>
            <w:pPr>
              <w:widowControl/>
              <w:jc w:val="center"/>
              <w:rPr>
                <w:rFonts w:hint="eastAsia" w:ascii="宋体" w:hAnsi="宋体" w:cs="Arial"/>
                <w:kern w:val="0"/>
                <w:sz w:val="18"/>
                <w:szCs w:val="18"/>
              </w:rPr>
            </w:pPr>
          </w:p>
        </w:tc>
        <w:tc>
          <w:tcPr>
            <w:tcW w:w="4139" w:type="dxa"/>
            <w:gridSpan w:val="4"/>
            <w:tcBorders>
              <w:top w:val="nil"/>
              <w:left w:val="nil"/>
              <w:right w:val="nil"/>
            </w:tcBorders>
            <w:noWrap/>
            <w:vAlign w:val="center"/>
          </w:tcPr>
          <w:p>
            <w:pPr>
              <w:widowControl/>
              <w:jc w:val="center"/>
              <w:rPr>
                <w:rFonts w:hint="eastAsia" w:ascii="宋体" w:hAnsi="宋体" w:cs="Arial"/>
                <w:color w:val="000000"/>
                <w:kern w:val="0"/>
                <w:sz w:val="22"/>
              </w:rPr>
            </w:pPr>
          </w:p>
        </w:tc>
        <w:tc>
          <w:tcPr>
            <w:tcW w:w="2520" w:type="dxa"/>
            <w:gridSpan w:val="3"/>
            <w:tcBorders>
              <w:top w:val="nil"/>
              <w:left w:val="nil"/>
              <w:right w:val="nil"/>
            </w:tcBorders>
            <w:noWrap/>
            <w:vAlign w:val="center"/>
          </w:tcPr>
          <w:p>
            <w:pPr>
              <w:widowControl/>
              <w:jc w:val="right"/>
              <w:rPr>
                <w:rFonts w:hint="eastAsia" w:ascii="宋体" w:hAnsi="宋体" w:cs="Arial"/>
                <w:color w:val="000000"/>
                <w:kern w:val="0"/>
                <w:sz w:val="22"/>
              </w:rPr>
            </w:pPr>
            <w:r>
              <w:rPr>
                <w:rFonts w:hint="eastAsia" w:ascii="宋体" w:hAnsi="宋体" w:cs="Arial"/>
                <w:color w:val="000000"/>
                <w:kern w:val="0"/>
                <w:sz w:val="22"/>
              </w:rPr>
              <w:t>公开04表</w:t>
            </w:r>
          </w:p>
        </w:tc>
      </w:tr>
      <w:tr>
        <w:trPr>
          <w:trHeight w:val="300" w:hRule="atLeast"/>
        </w:trPr>
        <w:tc>
          <w:tcPr>
            <w:tcW w:w="2134" w:type="dxa"/>
            <w:gridSpan w:val="2"/>
            <w:tcBorders>
              <w:top w:val="nil"/>
              <w:left w:val="nil"/>
              <w:bottom w:val="single" w:color="000000" w:sz="4" w:space="0"/>
              <w:right w:val="nil"/>
            </w:tcBorders>
            <w:noWrap/>
            <w:vAlign w:val="center"/>
          </w:tcPr>
          <w:p>
            <w:pPr>
              <w:widowControl/>
              <w:jc w:val="left"/>
              <w:rPr>
                <w:rFonts w:hint="eastAsia"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灵乡镇党群服务中心</w:t>
            </w:r>
          </w:p>
        </w:tc>
        <w:tc>
          <w:tcPr>
            <w:tcW w:w="363" w:type="dxa"/>
            <w:gridSpan w:val="2"/>
            <w:tcBorders>
              <w:top w:val="nil"/>
              <w:left w:val="nil"/>
              <w:bottom w:val="single" w:color="000000" w:sz="4" w:space="0"/>
              <w:right w:val="nil"/>
            </w:tcBorders>
            <w:noWrap/>
            <w:vAlign w:val="center"/>
          </w:tcPr>
          <w:p>
            <w:pPr>
              <w:widowControl/>
              <w:jc w:val="center"/>
              <w:rPr>
                <w:rFonts w:hint="eastAsia" w:ascii="宋体" w:hAnsi="宋体" w:cs="Arial"/>
                <w:kern w:val="0"/>
                <w:sz w:val="18"/>
                <w:szCs w:val="18"/>
              </w:rPr>
            </w:pPr>
          </w:p>
        </w:tc>
        <w:tc>
          <w:tcPr>
            <w:tcW w:w="806" w:type="dxa"/>
            <w:tcBorders>
              <w:top w:val="nil"/>
              <w:left w:val="nil"/>
              <w:bottom w:val="single" w:color="000000" w:sz="4" w:space="0"/>
              <w:right w:val="nil"/>
            </w:tcBorders>
            <w:noWrap/>
            <w:vAlign w:val="center"/>
          </w:tcPr>
          <w:p>
            <w:pPr>
              <w:widowControl/>
              <w:jc w:val="center"/>
              <w:rPr>
                <w:rFonts w:hint="eastAsia" w:ascii="宋体" w:hAnsi="宋体" w:cs="Arial"/>
                <w:kern w:val="0"/>
                <w:sz w:val="18"/>
                <w:szCs w:val="18"/>
              </w:rPr>
            </w:pPr>
          </w:p>
        </w:tc>
        <w:tc>
          <w:tcPr>
            <w:tcW w:w="4139" w:type="dxa"/>
            <w:gridSpan w:val="4"/>
            <w:tcBorders>
              <w:top w:val="nil"/>
              <w:left w:val="nil"/>
              <w:bottom w:val="single" w:color="000000" w:sz="4" w:space="0"/>
              <w:right w:val="nil"/>
            </w:tcBorders>
            <w:noWrap/>
            <w:vAlign w:val="center"/>
          </w:tcPr>
          <w:p>
            <w:pPr>
              <w:widowControl/>
              <w:jc w:val="center"/>
              <w:rPr>
                <w:rFonts w:hint="eastAsia" w:ascii="宋体" w:hAnsi="宋体" w:cs="Arial"/>
                <w:color w:val="000000"/>
                <w:kern w:val="0"/>
                <w:sz w:val="22"/>
              </w:rPr>
            </w:pPr>
            <w:r>
              <w:rPr>
                <w:rFonts w:hint="eastAsia" w:ascii="宋体" w:hAnsi="宋体" w:cs="Arial"/>
                <w:color w:val="000000"/>
                <w:kern w:val="0"/>
                <w:sz w:val="22"/>
              </w:rPr>
              <w:t xml:space="preserve"> </w:t>
            </w:r>
          </w:p>
        </w:tc>
        <w:tc>
          <w:tcPr>
            <w:tcW w:w="2520" w:type="dxa"/>
            <w:gridSpan w:val="3"/>
            <w:tcBorders>
              <w:top w:val="nil"/>
              <w:left w:val="nil"/>
              <w:bottom w:val="single" w:color="000000" w:sz="4" w:space="0"/>
              <w:right w:val="nil"/>
            </w:tcBorders>
            <w:noWrap/>
            <w:vAlign w:val="center"/>
          </w:tcPr>
          <w:p>
            <w:pPr>
              <w:widowControl/>
              <w:jc w:val="right"/>
              <w:rPr>
                <w:rFonts w:hint="eastAsia" w:ascii="宋体" w:hAnsi="宋体" w:cs="Arial"/>
                <w:kern w:val="0"/>
                <w:sz w:val="18"/>
                <w:szCs w:val="18"/>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3303"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收     入</w:t>
            </w:r>
          </w:p>
        </w:tc>
        <w:tc>
          <w:tcPr>
            <w:tcW w:w="6659" w:type="dxa"/>
            <w:gridSpan w:val="7"/>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支     出</w:t>
            </w:r>
          </w:p>
        </w:tc>
      </w:tr>
      <w:tr>
        <w:tblPrEx>
          <w:tblCellMar>
            <w:top w:w="0" w:type="dxa"/>
            <w:left w:w="108" w:type="dxa"/>
            <w:bottom w:w="0" w:type="dxa"/>
            <w:right w:w="108" w:type="dxa"/>
          </w:tblCellMar>
        </w:tblPrEx>
        <w:trPr>
          <w:trHeight w:val="312" w:hRule="atLeast"/>
        </w:trPr>
        <w:tc>
          <w:tcPr>
            <w:tcW w:w="1809"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42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1068"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金额</w:t>
            </w:r>
          </w:p>
        </w:tc>
        <w:tc>
          <w:tcPr>
            <w:tcW w:w="1908" w:type="dxa"/>
            <w:vMerge w:val="restart"/>
            <w:tcBorders>
              <w:top w:val="nil"/>
              <w:left w:val="nil"/>
              <w:bottom w:val="single" w:color="000000" w:sz="4" w:space="0"/>
              <w:right w:val="single" w:color="000000" w:sz="4" w:space="0"/>
            </w:tcBorders>
            <w:noWrap w:val="0"/>
            <w:vAlign w:val="bottom"/>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56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行次</w:t>
            </w:r>
          </w:p>
        </w:tc>
        <w:tc>
          <w:tcPr>
            <w:tcW w:w="1134" w:type="dxa"/>
            <w:vMerge w:val="restar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1134"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一般公共预算财政拨款</w:t>
            </w:r>
          </w:p>
        </w:tc>
        <w:tc>
          <w:tcPr>
            <w:tcW w:w="85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政府性基金预算财政拨款</w:t>
            </w:r>
          </w:p>
        </w:tc>
        <w:tc>
          <w:tcPr>
            <w:tcW w:w="1065"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180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42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06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908"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6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134"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13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5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065"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1068"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1908" w:type="dxa"/>
            <w:tcBorders>
              <w:top w:val="nil"/>
              <w:left w:val="nil"/>
              <w:bottom w:val="single" w:color="000000" w:sz="4" w:space="0"/>
              <w:right w:val="single" w:color="000000" w:sz="4" w:space="0"/>
            </w:tcBorders>
            <w:noWrap/>
            <w:vAlign w:val="bottom"/>
          </w:tcPr>
          <w:p>
            <w:pPr>
              <w:widowControl/>
              <w:jc w:val="left"/>
              <w:rPr>
                <w:rFonts w:ascii="宋体" w:hAnsi="宋体" w:cs="Arial"/>
                <w:kern w:val="0"/>
                <w:sz w:val="20"/>
                <w:szCs w:val="20"/>
              </w:rPr>
            </w:pPr>
            <w:r>
              <w:rPr>
                <w:rFonts w:hint="eastAsia" w:ascii="宋体" w:hAnsi="宋体" w:cs="Arial"/>
                <w:kern w:val="0"/>
                <w:sz w:val="20"/>
                <w:szCs w:val="20"/>
              </w:rPr>
              <w:t>栏次</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　</w:t>
            </w:r>
          </w:p>
        </w:tc>
        <w:tc>
          <w:tcPr>
            <w:tcW w:w="1134"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1134"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851"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1065"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r>
      <w:tr>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一、一般公共预算财政拨款</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95.96</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一、一般公共服务支出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33</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rPr>
              <w:t>95.96</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rPr>
              <w:t>95.96</w:t>
            </w:r>
          </w:p>
        </w:tc>
        <w:tc>
          <w:tcPr>
            <w:tcW w:w="851" w:type="dxa"/>
            <w:tcBorders>
              <w:top w:val="nil"/>
              <w:left w:val="nil"/>
              <w:bottom w:val="single" w:color="000000" w:sz="4" w:space="0"/>
              <w:right w:val="single" w:color="000000" w:sz="4" w:space="0"/>
            </w:tcBorders>
            <w:noWrap/>
            <w:vAlign w:val="center"/>
          </w:tcPr>
          <w:p>
            <w:pPr>
              <w:widowControl/>
              <w:jc w:val="center"/>
              <w:rPr>
                <w:rFonts w:hint="default" w:ascii="宋体" w:hAnsi="宋体" w:cs="Arial"/>
                <w:kern w:val="0"/>
                <w:sz w:val="20"/>
                <w:szCs w:val="20"/>
                <w:lang w:val="en-US"/>
              </w:rPr>
            </w:pPr>
          </w:p>
        </w:tc>
        <w:tc>
          <w:tcPr>
            <w:tcW w:w="1065" w:type="dxa"/>
            <w:tcBorders>
              <w:top w:val="nil"/>
              <w:left w:val="nil"/>
              <w:bottom w:val="single" w:color="000000" w:sz="4" w:space="0"/>
              <w:right w:val="single" w:color="000000" w:sz="4" w:space="0"/>
            </w:tcBorders>
            <w:noWrap/>
            <w:vAlign w:val="center"/>
          </w:tcPr>
          <w:p>
            <w:pPr>
              <w:widowControl/>
              <w:jc w:val="center"/>
              <w:rPr>
                <w:rFonts w:hint="eastAsia" w:ascii="宋体" w:hAnsi="宋体" w:eastAsia="宋体" w:cs="Arial"/>
                <w:kern w:val="0"/>
                <w:sz w:val="20"/>
                <w:szCs w:val="20"/>
                <w:lang w:val="en-US" w:eastAsia="zh-CN"/>
              </w:rPr>
            </w:pP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二、政府性基金预算财政拨款</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1068"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lang w:val="en-US" w:eastAsia="zh-CN"/>
              </w:rPr>
              <w:t>0</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二、外交支出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34</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三、国有资本经营财政拨款</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1068"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lang w:val="en-US" w:eastAsia="zh-CN"/>
              </w:rPr>
              <w:t>0</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三、国防支出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35</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四、公共安全支出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36</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五、教育支出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37</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六、科学技术支出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38</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7</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七、文化旅游体育与传媒支出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39</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8</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八、社会保障和就业支出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40</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9</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九、卫生健康支出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41</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10</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十、节能环保支出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42</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11</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十一、城乡社区支出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43</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12</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十二、农林水支出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44</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13</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十三、交通运输支出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45</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14</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十四、资源勘探工业信息等支出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46</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15</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十五、商业服务业等支出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47</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16</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十六、金融支出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48</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17</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十七、援助其他地区支出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49</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18</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十八、自然资源海洋气象等支出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50</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19</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十九、住房保障支出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51</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20</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二十、粮油物资储备支出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52</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21</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二十一、国有资本经营预算支出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53</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22</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二十二、灾害防治及应急管理支出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54</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23</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二十三、其他支出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55</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24</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二十四、债务还本支出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56</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25</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二十五、债务付息支出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57</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26</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二十六、抗疫特别国债安排的支出</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58</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065"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27</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95.96</w:t>
            </w:r>
          </w:p>
        </w:tc>
        <w:tc>
          <w:tcPr>
            <w:tcW w:w="1908" w:type="dxa"/>
            <w:tcBorders>
              <w:top w:val="nil"/>
              <w:left w:val="nil"/>
              <w:bottom w:val="single" w:color="000000" w:sz="4" w:space="0"/>
              <w:right w:val="single" w:color="000000" w:sz="4" w:space="0"/>
            </w:tcBorders>
            <w:noWrap/>
            <w:vAlign w:val="center"/>
          </w:tcPr>
          <w:p>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59</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95.96</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95.96</w:t>
            </w:r>
          </w:p>
        </w:tc>
        <w:tc>
          <w:tcPr>
            <w:tcW w:w="851"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lang w:val="en-US" w:eastAsia="zh-CN"/>
              </w:rPr>
              <w:t>0</w:t>
            </w:r>
          </w:p>
        </w:tc>
        <w:tc>
          <w:tcPr>
            <w:tcW w:w="1065"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lang w:val="en-US" w:eastAsia="zh-CN"/>
              </w:rPr>
              <w:t>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年初财政拨款结转和结余</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28</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Arial"/>
                <w:kern w:val="0"/>
                <w:sz w:val="20"/>
                <w:szCs w:val="20"/>
                <w:lang w:val="en-US" w:eastAsia="zh-CN"/>
              </w:rPr>
            </w:pPr>
            <w:r>
              <w:rPr>
                <w:rFonts w:hint="eastAsia" w:ascii="宋体" w:hAnsi="宋体" w:cs="Arial"/>
                <w:kern w:val="0"/>
                <w:sz w:val="20"/>
                <w:szCs w:val="20"/>
                <w:lang w:val="en-US" w:eastAsia="zh-CN"/>
              </w:rPr>
              <w:t>0</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年末财政拨款结转和结余</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60</w:t>
            </w:r>
          </w:p>
        </w:tc>
        <w:tc>
          <w:tcPr>
            <w:tcW w:w="1134" w:type="dxa"/>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Arial"/>
                <w:kern w:val="0"/>
                <w:sz w:val="20"/>
                <w:szCs w:val="20"/>
                <w:lang w:val="en-US" w:eastAsia="zh-CN"/>
              </w:rPr>
            </w:pPr>
            <w:r>
              <w:rPr>
                <w:rFonts w:hint="eastAsia" w:ascii="宋体" w:hAnsi="宋体" w:cs="Arial"/>
                <w:kern w:val="0"/>
                <w:sz w:val="20"/>
                <w:szCs w:val="20"/>
                <w:lang w:val="en-US" w:eastAsia="zh-CN"/>
              </w:rPr>
              <w:t>0</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Arial"/>
                <w:kern w:val="0"/>
                <w:sz w:val="20"/>
                <w:szCs w:val="20"/>
                <w:lang w:val="en-US" w:eastAsia="zh-CN"/>
              </w:rPr>
            </w:pPr>
            <w:r>
              <w:rPr>
                <w:rFonts w:hint="eastAsia" w:ascii="宋体" w:hAnsi="宋体" w:cs="Arial"/>
                <w:kern w:val="0"/>
                <w:sz w:val="20"/>
                <w:szCs w:val="20"/>
                <w:lang w:val="en-US" w:eastAsia="zh-CN"/>
              </w:rPr>
              <w:t>0</w:t>
            </w:r>
          </w:p>
        </w:tc>
        <w:tc>
          <w:tcPr>
            <w:tcW w:w="851"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lang w:val="en-US" w:eastAsia="zh-CN"/>
              </w:rPr>
              <w:t>0</w:t>
            </w:r>
          </w:p>
        </w:tc>
        <w:tc>
          <w:tcPr>
            <w:tcW w:w="1065"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lang w:val="en-US" w:eastAsia="zh-CN"/>
              </w:rPr>
              <w:t>0</w:t>
            </w: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一般公共预算财政拨款</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29</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hint="eastAsia" w:ascii="宋体" w:hAnsi="宋体" w:eastAsia="宋体" w:cs="Arial"/>
                <w:kern w:val="0"/>
                <w:sz w:val="20"/>
                <w:szCs w:val="20"/>
                <w:lang w:val="en-US" w:eastAsia="zh-CN"/>
              </w:rPr>
            </w:pPr>
            <w:r>
              <w:rPr>
                <w:rFonts w:hint="eastAsia" w:ascii="宋体" w:hAnsi="宋体" w:cs="Arial"/>
                <w:kern w:val="0"/>
                <w:sz w:val="20"/>
                <w:szCs w:val="20"/>
                <w:lang w:val="en-US" w:eastAsia="zh-CN"/>
              </w:rPr>
              <w:t>0</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61</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51"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p>
        </w:tc>
        <w:tc>
          <w:tcPr>
            <w:tcW w:w="1065"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政府性基金预算财政拨款</w:t>
            </w:r>
          </w:p>
        </w:tc>
        <w:tc>
          <w:tcPr>
            <w:tcW w:w="426" w:type="dxa"/>
            <w:gridSpan w:val="2"/>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30</w:t>
            </w:r>
          </w:p>
        </w:tc>
        <w:tc>
          <w:tcPr>
            <w:tcW w:w="1068"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lang w:val="en-US" w:eastAsia="zh-CN"/>
              </w:rPr>
              <w:t>0</w:t>
            </w:r>
            <w:r>
              <w:rPr>
                <w:rFonts w:hint="eastAsia" w:ascii="宋体" w:hAnsi="宋体" w:cs="Arial"/>
                <w:kern w:val="0"/>
                <w:sz w:val="20"/>
                <w:szCs w:val="20"/>
              </w:rPr>
              <w:t>　</w:t>
            </w:r>
          </w:p>
        </w:tc>
        <w:tc>
          <w:tcPr>
            <w:tcW w:w="1908" w:type="dxa"/>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67"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62</w:t>
            </w:r>
          </w:p>
        </w:tc>
        <w:tc>
          <w:tcPr>
            <w:tcW w:w="1134" w:type="dxa"/>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p>
        </w:tc>
        <w:tc>
          <w:tcPr>
            <w:tcW w:w="1065" w:type="dxa"/>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p>
        </w:tc>
      </w:tr>
      <w:tr>
        <w:trPr>
          <w:trHeight w:val="300" w:hRule="atLeast"/>
        </w:trPr>
        <w:tc>
          <w:tcPr>
            <w:tcW w:w="1809" w:type="dxa"/>
            <w:tcBorders>
              <w:top w:val="nil"/>
              <w:left w:val="single" w:color="000000" w:sz="4" w:space="0"/>
              <w:bottom w:val="single" w:color="auto"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国有资本经营预算财政拨款</w:t>
            </w:r>
          </w:p>
        </w:tc>
        <w:tc>
          <w:tcPr>
            <w:tcW w:w="426" w:type="dxa"/>
            <w:gridSpan w:val="2"/>
            <w:tcBorders>
              <w:top w:val="nil"/>
              <w:left w:val="nil"/>
              <w:bottom w:val="single" w:color="auto"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31</w:t>
            </w:r>
          </w:p>
        </w:tc>
        <w:tc>
          <w:tcPr>
            <w:tcW w:w="1068" w:type="dxa"/>
            <w:gridSpan w:val="2"/>
            <w:tcBorders>
              <w:top w:val="nil"/>
              <w:left w:val="nil"/>
              <w:bottom w:val="single" w:color="auto"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lang w:val="en-US" w:eastAsia="zh-CN"/>
              </w:rPr>
              <w:t>0</w:t>
            </w:r>
            <w:r>
              <w:rPr>
                <w:rFonts w:hint="eastAsia" w:ascii="宋体" w:hAnsi="宋体" w:cs="Arial"/>
                <w:kern w:val="0"/>
                <w:sz w:val="20"/>
                <w:szCs w:val="20"/>
              </w:rPr>
              <w:t>　</w:t>
            </w:r>
          </w:p>
        </w:tc>
        <w:tc>
          <w:tcPr>
            <w:tcW w:w="1908" w:type="dxa"/>
            <w:tcBorders>
              <w:top w:val="nil"/>
              <w:left w:val="nil"/>
              <w:bottom w:val="single" w:color="auto"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67" w:type="dxa"/>
            <w:tcBorders>
              <w:top w:val="nil"/>
              <w:left w:val="nil"/>
              <w:bottom w:val="single" w:color="auto"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63</w:t>
            </w:r>
          </w:p>
        </w:tc>
        <w:tc>
          <w:tcPr>
            <w:tcW w:w="1134" w:type="dxa"/>
            <w:tcBorders>
              <w:top w:val="nil"/>
              <w:left w:val="nil"/>
              <w:bottom w:val="single" w:color="auto"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134" w:type="dxa"/>
            <w:gridSpan w:val="2"/>
            <w:tcBorders>
              <w:top w:val="nil"/>
              <w:left w:val="nil"/>
              <w:bottom w:val="single" w:color="auto"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851" w:type="dxa"/>
            <w:tcBorders>
              <w:top w:val="nil"/>
              <w:left w:val="nil"/>
              <w:bottom w:val="single" w:color="auto" w:sz="4" w:space="0"/>
              <w:right w:val="single" w:color="000000" w:sz="4" w:space="0"/>
            </w:tcBorders>
            <w:noWrap/>
            <w:vAlign w:val="center"/>
          </w:tcPr>
          <w:p>
            <w:pPr>
              <w:widowControl/>
              <w:jc w:val="center"/>
              <w:rPr>
                <w:rFonts w:ascii="宋体" w:hAnsi="宋体" w:cs="Arial"/>
                <w:kern w:val="0"/>
                <w:sz w:val="20"/>
                <w:szCs w:val="20"/>
              </w:rPr>
            </w:pPr>
          </w:p>
        </w:tc>
        <w:tc>
          <w:tcPr>
            <w:tcW w:w="1065" w:type="dxa"/>
            <w:tcBorders>
              <w:top w:val="nil"/>
              <w:left w:val="nil"/>
              <w:bottom w:val="single" w:color="auto" w:sz="4" w:space="0"/>
              <w:right w:val="single" w:color="000000" w:sz="4" w:space="0"/>
            </w:tcBorders>
            <w:noWrap/>
            <w:vAlign w:val="center"/>
          </w:tcPr>
          <w:p>
            <w:pPr>
              <w:widowControl/>
              <w:jc w:val="center"/>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426"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32</w:t>
            </w:r>
          </w:p>
        </w:tc>
        <w:tc>
          <w:tcPr>
            <w:tcW w:w="1068"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95.96</w:t>
            </w: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总计</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64</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95.96</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95.96</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lang w:val="en-US" w:eastAsia="zh-CN"/>
              </w:rPr>
              <w:t>0</w:t>
            </w:r>
          </w:p>
        </w:tc>
        <w:tc>
          <w:tcPr>
            <w:tcW w:w="10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lang w:val="en-US" w:eastAsia="zh-CN"/>
              </w:rPr>
              <w:t>0</w:t>
            </w:r>
          </w:p>
        </w:tc>
      </w:tr>
      <w:tr>
        <w:tblPrEx>
          <w:tblCellMar>
            <w:top w:w="0" w:type="dxa"/>
            <w:left w:w="108" w:type="dxa"/>
            <w:bottom w:w="0" w:type="dxa"/>
            <w:right w:w="108" w:type="dxa"/>
          </w:tblCellMar>
        </w:tblPrEx>
        <w:trPr>
          <w:trHeight w:val="300" w:hRule="atLeast"/>
        </w:trPr>
        <w:tc>
          <w:tcPr>
            <w:tcW w:w="9962" w:type="dxa"/>
            <w:gridSpan w:val="12"/>
            <w:tcBorders>
              <w:top w:val="single" w:color="auto" w:sz="4" w:space="0"/>
            </w:tcBorders>
            <w:noWrap/>
            <w:vAlign w:val="center"/>
          </w:tcPr>
          <w:p>
            <w:pPr>
              <w:widowControl/>
              <w:jc w:val="left"/>
              <w:rPr>
                <w:rFonts w:hint="eastAsia" w:ascii="宋体" w:hAnsi="宋体" w:cs="Arial"/>
                <w:kern w:val="0"/>
                <w:sz w:val="20"/>
                <w:szCs w:val="20"/>
              </w:rPr>
            </w:pPr>
            <w:r>
              <w:rPr>
                <w:rFonts w:hint="eastAsia" w:ascii="宋体" w:hAnsi="宋体" w:cs="Arial"/>
                <w:kern w:val="0"/>
                <w:sz w:val="20"/>
                <w:szCs w:val="20"/>
              </w:rPr>
              <w:t>注：本表反映部门本年度一般公共预算财政拨款、政府性基金预算财政拨款和国有资本经营预算财政拨款的总收支和年末结转结余情况。</w:t>
            </w:r>
          </w:p>
        </w:tc>
      </w:tr>
    </w:tbl>
    <w:p>
      <w:pPr>
        <w:ind w:firstLine="640" w:firstLineChars="200"/>
        <w:rPr>
          <w:rFonts w:hint="eastAsia" w:ascii="宋体" w:hAnsi="宋体"/>
          <w:sz w:val="32"/>
          <w:szCs w:val="32"/>
        </w:rPr>
      </w:pPr>
    </w:p>
    <w:tbl>
      <w:tblPr>
        <w:tblStyle w:val="4"/>
        <w:tblW w:w="5000" w:type="pct"/>
        <w:tblInd w:w="0" w:type="dxa"/>
        <w:tblLayout w:type="autofit"/>
        <w:tblCellMar>
          <w:top w:w="0" w:type="dxa"/>
          <w:left w:w="108" w:type="dxa"/>
          <w:bottom w:w="0" w:type="dxa"/>
          <w:right w:w="108" w:type="dxa"/>
        </w:tblCellMar>
      </w:tblPr>
      <w:tblGrid>
        <w:gridCol w:w="1029"/>
        <w:gridCol w:w="1032"/>
        <w:gridCol w:w="1054"/>
        <w:gridCol w:w="3497"/>
        <w:gridCol w:w="905"/>
        <w:gridCol w:w="905"/>
        <w:gridCol w:w="1540"/>
      </w:tblGrid>
      <w:tr>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noWrap/>
            <w:vAlign w:val="center"/>
          </w:tcPr>
          <w:p>
            <w:pPr>
              <w:widowControl/>
              <w:jc w:val="center"/>
              <w:rPr>
                <w:rFonts w:ascii="宋体" w:hAnsi="宋体" w:cs="Arial"/>
                <w:kern w:val="0"/>
                <w:sz w:val="18"/>
                <w:szCs w:val="18"/>
              </w:rPr>
            </w:pPr>
            <w:r>
              <w:rPr>
                <w:rFonts w:hint="eastAsia" w:ascii="宋体" w:hAnsi="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300" w:hRule="atLeast"/>
        </w:trPr>
        <w:tc>
          <w:tcPr>
            <w:tcW w:w="362" w:type="pct"/>
            <w:tcBorders>
              <w:top w:val="nil"/>
              <w:left w:val="nil"/>
              <w:bottom w:val="nil"/>
              <w:right w:val="nil"/>
            </w:tcBorders>
            <w:noWrap/>
            <w:vAlign w:val="center"/>
          </w:tcPr>
          <w:p>
            <w:pPr>
              <w:widowControl/>
              <w:jc w:val="left"/>
              <w:rPr>
                <w:rFonts w:ascii="宋体" w:hAnsi="宋体" w:cs="Arial"/>
                <w:kern w:val="0"/>
                <w:sz w:val="18"/>
                <w:szCs w:val="18"/>
              </w:rPr>
            </w:pPr>
          </w:p>
        </w:tc>
        <w:tc>
          <w:tcPr>
            <w:tcW w:w="363" w:type="pct"/>
            <w:tcBorders>
              <w:top w:val="nil"/>
              <w:left w:val="nil"/>
              <w:bottom w:val="nil"/>
              <w:right w:val="nil"/>
            </w:tcBorders>
            <w:noWrap/>
            <w:vAlign w:val="center"/>
          </w:tcPr>
          <w:p>
            <w:pPr>
              <w:widowControl/>
              <w:jc w:val="left"/>
              <w:rPr>
                <w:rFonts w:ascii="宋体" w:hAnsi="宋体" w:cs="Arial"/>
                <w:kern w:val="0"/>
                <w:sz w:val="18"/>
                <w:szCs w:val="18"/>
              </w:rPr>
            </w:pPr>
          </w:p>
        </w:tc>
        <w:tc>
          <w:tcPr>
            <w:tcW w:w="369" w:type="pct"/>
            <w:tcBorders>
              <w:top w:val="nil"/>
              <w:left w:val="nil"/>
              <w:bottom w:val="nil"/>
              <w:right w:val="nil"/>
            </w:tcBorders>
            <w:noWrap/>
            <w:vAlign w:val="center"/>
          </w:tcPr>
          <w:p>
            <w:pPr>
              <w:widowControl/>
              <w:jc w:val="left"/>
              <w:rPr>
                <w:rFonts w:ascii="宋体" w:hAnsi="宋体" w:cs="Arial"/>
                <w:kern w:val="0"/>
                <w:sz w:val="18"/>
                <w:szCs w:val="18"/>
              </w:rPr>
            </w:pPr>
          </w:p>
        </w:tc>
        <w:tc>
          <w:tcPr>
            <w:tcW w:w="2008" w:type="pct"/>
            <w:tcBorders>
              <w:top w:val="nil"/>
              <w:left w:val="nil"/>
              <w:bottom w:val="nil"/>
              <w:right w:val="nil"/>
            </w:tcBorders>
            <w:noWrap/>
            <w:vAlign w:val="center"/>
          </w:tcPr>
          <w:p>
            <w:pPr>
              <w:widowControl/>
              <w:jc w:val="left"/>
              <w:rPr>
                <w:rFonts w:ascii="宋体" w:hAnsi="宋体" w:cs="Arial"/>
                <w:kern w:val="0"/>
                <w:sz w:val="18"/>
                <w:szCs w:val="18"/>
              </w:rPr>
            </w:pPr>
          </w:p>
        </w:tc>
        <w:tc>
          <w:tcPr>
            <w:tcW w:w="509" w:type="pct"/>
            <w:tcBorders>
              <w:top w:val="nil"/>
              <w:left w:val="nil"/>
              <w:bottom w:val="nil"/>
              <w:right w:val="nil"/>
            </w:tcBorders>
            <w:noWrap/>
            <w:vAlign w:val="center"/>
          </w:tcPr>
          <w:p>
            <w:pPr>
              <w:widowControl/>
              <w:jc w:val="left"/>
              <w:rPr>
                <w:rFonts w:ascii="宋体" w:hAnsi="宋体" w:cs="Arial"/>
                <w:kern w:val="0"/>
                <w:sz w:val="18"/>
                <w:szCs w:val="18"/>
              </w:rPr>
            </w:pPr>
          </w:p>
        </w:tc>
        <w:tc>
          <w:tcPr>
            <w:tcW w:w="509" w:type="pct"/>
            <w:tcBorders>
              <w:top w:val="nil"/>
              <w:left w:val="nil"/>
              <w:bottom w:val="nil"/>
              <w:right w:val="nil"/>
            </w:tcBorders>
            <w:noWrap/>
            <w:vAlign w:val="center"/>
          </w:tcPr>
          <w:p>
            <w:pPr>
              <w:widowControl/>
              <w:jc w:val="left"/>
              <w:rPr>
                <w:rFonts w:ascii="宋体" w:hAnsi="宋体" w:cs="Arial"/>
                <w:kern w:val="0"/>
                <w:sz w:val="18"/>
                <w:szCs w:val="18"/>
              </w:rPr>
            </w:pPr>
          </w:p>
        </w:tc>
        <w:tc>
          <w:tcPr>
            <w:tcW w:w="875" w:type="pct"/>
            <w:tcBorders>
              <w:top w:val="nil"/>
              <w:left w:val="nil"/>
              <w:bottom w:val="nil"/>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公开05表</w:t>
            </w:r>
          </w:p>
        </w:tc>
      </w:tr>
      <w:tr>
        <w:tblPrEx>
          <w:tblCellMar>
            <w:top w:w="0" w:type="dxa"/>
            <w:left w:w="108" w:type="dxa"/>
            <w:bottom w:w="0" w:type="dxa"/>
            <w:right w:w="108" w:type="dxa"/>
          </w:tblCellMar>
        </w:tblPrEx>
        <w:trPr>
          <w:trHeight w:val="300" w:hRule="atLeast"/>
        </w:trPr>
        <w:tc>
          <w:tcPr>
            <w:tcW w:w="1096" w:type="pct"/>
            <w:gridSpan w:val="3"/>
            <w:tcBorders>
              <w:top w:val="nil"/>
              <w:left w:val="nil"/>
              <w:bottom w:val="single" w:color="000000" w:sz="4" w:space="0"/>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灵乡镇党群服务中心</w:t>
            </w:r>
          </w:p>
        </w:tc>
        <w:tc>
          <w:tcPr>
            <w:tcW w:w="2008" w:type="pct"/>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w:t>
            </w:r>
          </w:p>
        </w:tc>
        <w:tc>
          <w:tcPr>
            <w:tcW w:w="509" w:type="pct"/>
            <w:tcBorders>
              <w:top w:val="nil"/>
              <w:left w:val="nil"/>
              <w:bottom w:val="single" w:color="000000" w:sz="4" w:space="0"/>
              <w:right w:val="nil"/>
            </w:tcBorders>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509" w:type="pct"/>
            <w:tcBorders>
              <w:top w:val="nil"/>
              <w:left w:val="nil"/>
              <w:bottom w:val="single" w:color="000000" w:sz="4" w:space="0"/>
              <w:right w:val="nil"/>
            </w:tcBorders>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875" w:type="pct"/>
            <w:tcBorders>
              <w:top w:val="nil"/>
              <w:left w:val="nil"/>
              <w:bottom w:val="single" w:color="000000" w:sz="4" w:space="0"/>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trPr>
          <w:trHeight w:val="300" w:hRule="atLeast"/>
        </w:trPr>
        <w:tc>
          <w:tcPr>
            <w:tcW w:w="3104" w:type="pct"/>
            <w:gridSpan w:val="4"/>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1895" w:type="pct"/>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本年支出</w:t>
            </w:r>
          </w:p>
        </w:tc>
      </w:tr>
      <w:tr>
        <w:tblPrEx>
          <w:tblCellMar>
            <w:top w:w="0" w:type="dxa"/>
            <w:left w:w="108" w:type="dxa"/>
            <w:bottom w:w="0" w:type="dxa"/>
            <w:right w:w="108" w:type="dxa"/>
          </w:tblCellMar>
        </w:tblPrEx>
        <w:trPr>
          <w:trHeight w:val="312" w:hRule="atLeast"/>
        </w:trPr>
        <w:tc>
          <w:tcPr>
            <w:tcW w:w="1096" w:type="pct"/>
            <w:gridSpan w:val="3"/>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2008" w:type="pct"/>
            <w:vMerge w:val="restar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509"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小计</w:t>
            </w:r>
          </w:p>
        </w:tc>
        <w:tc>
          <w:tcPr>
            <w:tcW w:w="509"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基本支出</w:t>
            </w:r>
          </w:p>
        </w:tc>
        <w:tc>
          <w:tcPr>
            <w:tcW w:w="875"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项目支出</w:t>
            </w:r>
          </w:p>
        </w:tc>
      </w:tr>
      <w:tr>
        <w:tblPrEx>
          <w:tblCellMar>
            <w:top w:w="0" w:type="dxa"/>
            <w:left w:w="108" w:type="dxa"/>
            <w:bottom w:w="0" w:type="dxa"/>
            <w:right w:w="108" w:type="dxa"/>
          </w:tblCellMar>
        </w:tblPrEx>
        <w:trPr>
          <w:trHeight w:val="312" w:hRule="atLeast"/>
        </w:trPr>
        <w:tc>
          <w:tcPr>
            <w:tcW w:w="1096"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200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09"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09"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7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1096"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200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09"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09"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7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3104" w:type="pct"/>
            <w:gridSpan w:val="4"/>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栏次</w:t>
            </w:r>
          </w:p>
        </w:tc>
        <w:tc>
          <w:tcPr>
            <w:tcW w:w="509"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509"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875"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r>
      <w:tr>
        <w:tblPrEx>
          <w:tblCellMar>
            <w:top w:w="0" w:type="dxa"/>
            <w:left w:w="108" w:type="dxa"/>
            <w:bottom w:w="0" w:type="dxa"/>
            <w:right w:w="108" w:type="dxa"/>
          </w:tblCellMar>
        </w:tblPrEx>
        <w:trPr>
          <w:trHeight w:val="300" w:hRule="atLeast"/>
        </w:trPr>
        <w:tc>
          <w:tcPr>
            <w:tcW w:w="3104" w:type="pct"/>
            <w:gridSpan w:val="4"/>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合计</w:t>
            </w:r>
          </w:p>
        </w:tc>
        <w:tc>
          <w:tcPr>
            <w:tcW w:w="101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95.96</w:t>
            </w:r>
          </w:p>
        </w:tc>
        <w:tc>
          <w:tcPr>
            <w:tcW w:w="101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94.87</w:t>
            </w:r>
          </w:p>
        </w:tc>
        <w:tc>
          <w:tcPr>
            <w:tcW w:w="174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1.09</w:t>
            </w:r>
          </w:p>
        </w:tc>
      </w:tr>
      <w:tr>
        <w:tblPrEx>
          <w:tblCellMar>
            <w:top w:w="0" w:type="dxa"/>
            <w:left w:w="108" w:type="dxa"/>
            <w:bottom w:w="0" w:type="dxa"/>
            <w:right w:w="108" w:type="dxa"/>
          </w:tblCellMar>
        </w:tblPrEx>
        <w:trPr>
          <w:trHeight w:val="300" w:hRule="atLeast"/>
        </w:trPr>
        <w:tc>
          <w:tcPr>
            <w:tcW w:w="1096" w:type="pct"/>
            <w:gridSpan w:val="3"/>
            <w:tcBorders>
              <w:top w:val="nil"/>
              <w:left w:val="single" w:color="000000" w:sz="4" w:space="0"/>
              <w:bottom w:val="single" w:color="000000" w:sz="4" w:space="0"/>
              <w:right w:val="single" w:color="000000" w:sz="4" w:space="0"/>
            </w:tcBorders>
            <w:noWrap/>
            <w:vAlign w:val="center"/>
          </w:tcPr>
          <w:p>
            <w:pPr>
              <w:widowControl/>
              <w:jc w:val="left"/>
              <w:rPr>
                <w:rFonts w:hint="default" w:ascii="宋体" w:hAnsi="宋体" w:eastAsia="宋体" w:cs="Arial"/>
                <w:b/>
                <w:bCs/>
                <w:kern w:val="0"/>
                <w:sz w:val="20"/>
                <w:szCs w:val="20"/>
                <w:lang w:val="en-US" w:eastAsia="zh-CN"/>
              </w:rPr>
            </w:pPr>
            <w:r>
              <w:rPr>
                <w:rFonts w:hint="eastAsia" w:ascii="宋体" w:hAnsi="宋体" w:cs="Arial"/>
                <w:b/>
                <w:bCs/>
                <w:kern w:val="0"/>
                <w:sz w:val="20"/>
                <w:szCs w:val="20"/>
                <w:lang w:val="en-US" w:eastAsia="zh-CN"/>
              </w:rPr>
              <w:t>2010399</w:t>
            </w:r>
          </w:p>
        </w:tc>
        <w:tc>
          <w:tcPr>
            <w:tcW w:w="2008" w:type="pct"/>
            <w:tcBorders>
              <w:top w:val="nil"/>
              <w:left w:val="nil"/>
              <w:bottom w:val="single" w:color="000000" w:sz="4" w:space="0"/>
              <w:right w:val="single" w:color="000000" w:sz="4" w:space="0"/>
            </w:tcBorders>
            <w:noWrap/>
            <w:vAlign w:val="center"/>
          </w:tcPr>
          <w:p>
            <w:pPr>
              <w:widowControl/>
              <w:jc w:val="left"/>
              <w:rPr>
                <w:rFonts w:ascii="宋体" w:hAnsi="宋体" w:cs="Arial"/>
                <w:b/>
                <w:bCs/>
                <w:kern w:val="0"/>
                <w:sz w:val="20"/>
                <w:szCs w:val="20"/>
              </w:rPr>
            </w:pPr>
            <w:r>
              <w:rPr>
                <w:rFonts w:hint="eastAsia" w:ascii="宋体" w:hAnsi="宋体" w:cs="Arial"/>
                <w:b/>
                <w:bCs/>
                <w:kern w:val="0"/>
                <w:sz w:val="20"/>
                <w:szCs w:val="20"/>
              </w:rPr>
              <w:t>其他政府办公厅（室）及相关机构事务支出</w:t>
            </w:r>
          </w:p>
        </w:tc>
        <w:tc>
          <w:tcPr>
            <w:tcW w:w="101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95.96</w:t>
            </w:r>
          </w:p>
        </w:tc>
        <w:tc>
          <w:tcPr>
            <w:tcW w:w="1017"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94.87</w:t>
            </w:r>
          </w:p>
        </w:tc>
        <w:tc>
          <w:tcPr>
            <w:tcW w:w="1744"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1.09</w:t>
            </w: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注：本表反映部门本年度一般公共预算财政拨款支出情况。</w:t>
            </w:r>
          </w:p>
        </w:tc>
      </w:tr>
    </w:tbl>
    <w:p>
      <w:pPr>
        <w:ind w:firstLine="640" w:firstLineChars="200"/>
        <w:rPr>
          <w:rFonts w:hint="eastAsia" w:ascii="宋体" w:hAnsi="宋体"/>
          <w:sz w:val="32"/>
          <w:szCs w:val="32"/>
        </w:rPr>
      </w:pPr>
    </w:p>
    <w:p>
      <w:pPr>
        <w:pStyle w:val="2"/>
        <w:rPr>
          <w:rFonts w:hint="eastAsia"/>
        </w:rPr>
      </w:pPr>
    </w:p>
    <w:tbl>
      <w:tblPr>
        <w:tblStyle w:val="4"/>
        <w:tblW w:w="5000" w:type="pct"/>
        <w:tblInd w:w="0" w:type="dxa"/>
        <w:tblLayout w:type="fixed"/>
        <w:tblCellMar>
          <w:top w:w="0" w:type="dxa"/>
          <w:left w:w="108" w:type="dxa"/>
          <w:bottom w:w="0" w:type="dxa"/>
          <w:right w:w="108" w:type="dxa"/>
        </w:tblCellMar>
      </w:tblPr>
      <w:tblGrid>
        <w:gridCol w:w="818"/>
        <w:gridCol w:w="1414"/>
        <w:gridCol w:w="1082"/>
        <w:gridCol w:w="763"/>
        <w:gridCol w:w="1417"/>
        <w:gridCol w:w="851"/>
        <w:gridCol w:w="853"/>
        <w:gridCol w:w="1847"/>
        <w:gridCol w:w="917"/>
      </w:tblGrid>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noWrap/>
            <w:vAlign w:val="center"/>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公开06表</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single" w:color="000000" w:sz="4" w:space="0"/>
              <w:right w:val="nil"/>
            </w:tcBorders>
            <w:noWrap/>
            <w:vAlign w:val="center"/>
          </w:tcPr>
          <w:p>
            <w:pPr>
              <w:widowControl/>
              <w:jc w:val="left"/>
              <w:rPr>
                <w:rFonts w:hint="eastAsia" w:ascii="宋体" w:hAnsi="宋体" w:cs="Arial"/>
                <w:color w:val="000000"/>
                <w:kern w:val="0"/>
                <w:sz w:val="18"/>
                <w:szCs w:val="18"/>
              </w:rPr>
            </w:pPr>
            <w:r>
              <w:rPr>
                <w:rFonts w:hint="eastAsia" w:ascii="宋体" w:hAnsi="宋体" w:cs="Arial"/>
                <w:kern w:val="0"/>
                <w:sz w:val="22"/>
              </w:rPr>
              <w:t>部门：</w:t>
            </w:r>
            <w:r>
              <w:rPr>
                <w:rFonts w:hint="eastAsia" w:ascii="宋体" w:hAnsi="宋体" w:cs="Arial"/>
                <w:color w:val="000000"/>
                <w:kern w:val="0"/>
                <w:sz w:val="22"/>
              </w:rPr>
              <w:t>大冶市</w:t>
            </w:r>
            <w:r>
              <w:rPr>
                <w:rFonts w:hint="eastAsia" w:ascii="宋体" w:hAnsi="宋体" w:cs="Arial"/>
                <w:color w:val="000000"/>
                <w:kern w:val="0"/>
                <w:sz w:val="22"/>
                <w:lang w:val="en-US" w:eastAsia="zh-CN"/>
              </w:rPr>
              <w:t>灵乡镇党群服务中心</w:t>
            </w:r>
            <w:r>
              <w:rPr>
                <w:rFonts w:hint="eastAsia" w:ascii="宋体" w:hAnsi="宋体" w:cs="Arial"/>
                <w:kern w:val="0"/>
                <w:sz w:val="22"/>
              </w:rPr>
              <w:t xml:space="preserve">                   </w:t>
            </w:r>
            <w:r>
              <w:rPr>
                <w:rFonts w:hint="eastAsia" w:ascii="宋体" w:hAnsi="宋体" w:cs="Arial"/>
                <w:color w:val="000000"/>
                <w:kern w:val="0"/>
                <w:sz w:val="22"/>
              </w:rPr>
              <w:t xml:space="preserve">                        金额单位：万元</w:t>
            </w:r>
          </w:p>
        </w:tc>
      </w:tr>
      <w:tr>
        <w:tblPrEx>
          <w:tblCellMar>
            <w:top w:w="0" w:type="dxa"/>
            <w:left w:w="108" w:type="dxa"/>
            <w:bottom w:w="0" w:type="dxa"/>
            <w:right w:w="108" w:type="dxa"/>
          </w:tblCellMar>
        </w:tblPrEx>
        <w:trPr>
          <w:trHeight w:val="300" w:hRule="atLeast"/>
        </w:trPr>
        <w:tc>
          <w:tcPr>
            <w:tcW w:w="1664"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人员经费</w:t>
            </w:r>
          </w:p>
        </w:tc>
        <w:tc>
          <w:tcPr>
            <w:tcW w:w="3336" w:type="pct"/>
            <w:gridSpan w:val="6"/>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公用经费</w:t>
            </w:r>
          </w:p>
        </w:tc>
      </w:tr>
      <w:tr>
        <w:tblPrEx>
          <w:tblCellMar>
            <w:top w:w="0" w:type="dxa"/>
            <w:left w:w="108" w:type="dxa"/>
            <w:bottom w:w="0" w:type="dxa"/>
            <w:right w:w="108" w:type="dxa"/>
          </w:tblCellMar>
        </w:tblPrEx>
        <w:trPr>
          <w:trHeight w:val="312" w:hRule="atLeast"/>
        </w:trPr>
        <w:tc>
          <w:tcPr>
            <w:tcW w:w="411" w:type="pct"/>
            <w:vMerge w:val="restart"/>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cs="Arial"/>
                <w:kern w:val="0"/>
                <w:sz w:val="20"/>
                <w:szCs w:val="20"/>
              </w:rPr>
            </w:pPr>
            <w:r>
              <w:rPr>
                <w:rFonts w:hint="eastAsia" w:ascii="宋体" w:hAnsi="宋体" w:cs="Arial"/>
                <w:kern w:val="0"/>
                <w:sz w:val="20"/>
                <w:szCs w:val="20"/>
              </w:rPr>
              <w:t>科目</w:t>
            </w:r>
          </w:p>
          <w:p>
            <w:pPr>
              <w:widowControl/>
              <w:jc w:val="center"/>
              <w:rPr>
                <w:rFonts w:ascii="宋体" w:hAnsi="宋体" w:cs="Arial"/>
                <w:kern w:val="0"/>
                <w:sz w:val="20"/>
                <w:szCs w:val="20"/>
              </w:rPr>
            </w:pPr>
            <w:r>
              <w:rPr>
                <w:rFonts w:hint="eastAsia" w:ascii="宋体" w:hAnsi="宋体" w:cs="Arial"/>
                <w:kern w:val="0"/>
                <w:sz w:val="20"/>
                <w:szCs w:val="20"/>
              </w:rPr>
              <w:t>编码</w:t>
            </w:r>
          </w:p>
        </w:tc>
        <w:tc>
          <w:tcPr>
            <w:tcW w:w="710"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543"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决算数</w:t>
            </w:r>
          </w:p>
        </w:tc>
        <w:tc>
          <w:tcPr>
            <w:tcW w:w="383"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科目编码</w:t>
            </w:r>
          </w:p>
        </w:tc>
        <w:tc>
          <w:tcPr>
            <w:tcW w:w="711"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427"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决算数</w:t>
            </w:r>
          </w:p>
        </w:tc>
        <w:tc>
          <w:tcPr>
            <w:tcW w:w="428" w:type="pct"/>
            <w:vMerge w:val="restart"/>
            <w:tcBorders>
              <w:top w:val="nil"/>
              <w:left w:val="nil"/>
              <w:bottom w:val="single" w:color="000000" w:sz="4" w:space="0"/>
              <w:right w:val="single" w:color="000000" w:sz="4" w:space="0"/>
            </w:tcBorders>
            <w:noWrap w:val="0"/>
            <w:vAlign w:val="center"/>
          </w:tcPr>
          <w:p>
            <w:pPr>
              <w:widowControl/>
              <w:jc w:val="center"/>
              <w:rPr>
                <w:rFonts w:hint="eastAsia" w:ascii="宋体" w:hAnsi="宋体" w:cs="Arial"/>
                <w:kern w:val="0"/>
                <w:sz w:val="20"/>
                <w:szCs w:val="20"/>
              </w:rPr>
            </w:pPr>
            <w:r>
              <w:rPr>
                <w:rFonts w:hint="eastAsia" w:ascii="宋体" w:hAnsi="宋体" w:cs="Arial"/>
                <w:kern w:val="0"/>
                <w:sz w:val="20"/>
                <w:szCs w:val="20"/>
              </w:rPr>
              <w:t>科目</w:t>
            </w:r>
          </w:p>
          <w:p>
            <w:pPr>
              <w:widowControl/>
              <w:jc w:val="center"/>
              <w:rPr>
                <w:rFonts w:ascii="宋体" w:hAnsi="宋体" w:cs="Arial"/>
                <w:kern w:val="0"/>
                <w:sz w:val="20"/>
                <w:szCs w:val="20"/>
              </w:rPr>
            </w:pPr>
            <w:r>
              <w:rPr>
                <w:rFonts w:hint="eastAsia" w:ascii="宋体" w:hAnsi="宋体" w:cs="Arial"/>
                <w:kern w:val="0"/>
                <w:sz w:val="20"/>
                <w:szCs w:val="20"/>
              </w:rPr>
              <w:t>编码</w:t>
            </w:r>
          </w:p>
        </w:tc>
        <w:tc>
          <w:tcPr>
            <w:tcW w:w="927"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460"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决算数</w:t>
            </w:r>
          </w:p>
        </w:tc>
      </w:tr>
      <w:tr>
        <w:tblPrEx>
          <w:tblCellMar>
            <w:top w:w="0" w:type="dxa"/>
            <w:left w:w="108" w:type="dxa"/>
            <w:bottom w:w="0" w:type="dxa"/>
            <w:right w:w="108" w:type="dxa"/>
          </w:tblCellMar>
        </w:tblPrEx>
        <w:trPr>
          <w:trHeight w:val="312" w:hRule="atLeast"/>
        </w:trPr>
        <w:tc>
          <w:tcPr>
            <w:tcW w:w="411"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710"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43"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383"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711"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427"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42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927"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460"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工资福利支出</w:t>
            </w:r>
          </w:p>
        </w:tc>
        <w:tc>
          <w:tcPr>
            <w:tcW w:w="108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89.32</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商品和服务支出</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5.54</w:t>
            </w: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307</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债务利息及费用支出</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30101</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基本工资</w:t>
            </w:r>
          </w:p>
        </w:tc>
        <w:tc>
          <w:tcPr>
            <w:tcW w:w="108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20.83</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30201</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办公费</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0.92</w:t>
            </w: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30701</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国内债务付息</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30102</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津贴补贴</w:t>
            </w:r>
          </w:p>
        </w:tc>
        <w:tc>
          <w:tcPr>
            <w:tcW w:w="108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6.73</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30202</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印刷费</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0.53</w:t>
            </w: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30702</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国外债务付息</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30103</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奖金</w:t>
            </w:r>
          </w:p>
        </w:tc>
        <w:tc>
          <w:tcPr>
            <w:tcW w:w="108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26.02</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30203</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咨询费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资本性支出</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30106</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伙食补助费</w:t>
            </w:r>
          </w:p>
        </w:tc>
        <w:tc>
          <w:tcPr>
            <w:tcW w:w="1082"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30204</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手续费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31001</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房屋建筑物购建</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30107</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绩效工资</w:t>
            </w:r>
          </w:p>
        </w:tc>
        <w:tc>
          <w:tcPr>
            <w:tcW w:w="108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10.98</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30205</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水费</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0.40</w:t>
            </w: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31002</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办公设备购置</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30108</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机关事业单位基本养老保险缴费</w:t>
            </w:r>
          </w:p>
        </w:tc>
        <w:tc>
          <w:tcPr>
            <w:tcW w:w="108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7.82</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30206</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电费</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1.42</w:t>
            </w: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31003</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专用设备购置</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30109</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职业年金缴费</w:t>
            </w:r>
          </w:p>
        </w:tc>
        <w:tc>
          <w:tcPr>
            <w:tcW w:w="1082"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30207</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邮电费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31005</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基础设施建设</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30110</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职工基本医疗保险缴费</w:t>
            </w:r>
          </w:p>
        </w:tc>
        <w:tc>
          <w:tcPr>
            <w:tcW w:w="108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5.12</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30208</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取暖费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31006</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大型修缮</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30111</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公务员医疗补助缴费</w:t>
            </w:r>
          </w:p>
        </w:tc>
        <w:tc>
          <w:tcPr>
            <w:tcW w:w="108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3.20</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30209</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物业管理费</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0.11</w:t>
            </w: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31007</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信息网络及软件购置更新</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30112</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其他社会保障缴费</w:t>
            </w:r>
          </w:p>
        </w:tc>
        <w:tc>
          <w:tcPr>
            <w:tcW w:w="108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0.93</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30211</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差旅费</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0.17</w:t>
            </w: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31008</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物资储备</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30113</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住房公积金</w:t>
            </w:r>
          </w:p>
        </w:tc>
        <w:tc>
          <w:tcPr>
            <w:tcW w:w="1082"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7.69</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30212</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因公出国（境）费用</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31009</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土地补偿</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30114</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医疗费</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30213</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维修（护）费</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0.05</w:t>
            </w: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31010</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安置补助</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30199</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其他工资福利支出</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30214</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租赁费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31011</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地上附着物和青苗补偿</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对个人和家庭的补助</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30215</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会议费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31012</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拆迁补偿</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30301</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离休费</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30216</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培训费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31013</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公务用车购置</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30302</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退休费</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30217</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公务接待费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31019</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其他交通工具购置</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30303</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退职（役）费</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30218</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专用材料费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31021</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文物和陈列品购置</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30304</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抚恤金</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30224</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被装购置费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31022</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无形资产购置</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30305</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生活补助</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30225</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专用燃料费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31099</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其他资本性支出</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30306</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救济费</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30226</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劳务费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399</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其他支出</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30307</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医疗费补助</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30227</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委托业务费</w:t>
            </w:r>
          </w:p>
        </w:tc>
        <w:tc>
          <w:tcPr>
            <w:tcW w:w="851" w:type="dxa"/>
            <w:tcBorders>
              <w:top w:val="nil"/>
              <w:left w:val="nil"/>
              <w:bottom w:val="single" w:color="000000" w:sz="4" w:space="0"/>
              <w:right w:val="single" w:color="000000" w:sz="4" w:space="0"/>
            </w:tcBorders>
            <w:noWrap/>
            <w:vAlign w:val="center"/>
          </w:tcPr>
          <w:p>
            <w:pPr>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39906</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赠与</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30308</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助学金</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30228</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工会经费</w:t>
            </w:r>
          </w:p>
        </w:tc>
        <w:tc>
          <w:tcPr>
            <w:tcW w:w="851"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1.28</w:t>
            </w: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39907</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国家赔偿费用支出</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30309</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奖励金</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30229</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福利费</w:t>
            </w:r>
          </w:p>
        </w:tc>
        <w:tc>
          <w:tcPr>
            <w:tcW w:w="427"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39908</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对民间非营利组织和群众性自治组织补贴</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30310</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个人农业生产补贴</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30231</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公务用车运行维护费</w:t>
            </w:r>
          </w:p>
        </w:tc>
        <w:tc>
          <w:tcPr>
            <w:tcW w:w="427"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39999</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其他支出</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30311</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代缴社会保险费</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30239</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其他交通费用</w:t>
            </w:r>
          </w:p>
        </w:tc>
        <w:tc>
          <w:tcPr>
            <w:tcW w:w="427" w:type="pct"/>
            <w:tcBorders>
              <w:top w:val="nil"/>
              <w:left w:val="nil"/>
              <w:bottom w:val="single" w:color="000000" w:sz="4" w:space="0"/>
              <w:right w:val="single" w:color="000000" w:sz="4" w:space="0"/>
            </w:tcBorders>
            <w:noWrap/>
            <w:vAlign w:val="center"/>
          </w:tcPr>
          <w:p>
            <w:pPr>
              <w:widowControl/>
              <w:jc w:val="right"/>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0.66</w:t>
            </w: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30399</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其他对个人和家庭的补助</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30240</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税金及附加费用</w:t>
            </w:r>
          </w:p>
        </w:tc>
        <w:tc>
          <w:tcPr>
            <w:tcW w:w="427"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411" w:type="pct"/>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710"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383"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30299</w:t>
            </w:r>
          </w:p>
        </w:tc>
        <w:tc>
          <w:tcPr>
            <w:tcW w:w="711"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xml:space="preserve">  其他商品和服务支出</w:t>
            </w:r>
          </w:p>
        </w:tc>
        <w:tc>
          <w:tcPr>
            <w:tcW w:w="427"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42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9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CellMar>
            <w:top w:w="0" w:type="dxa"/>
            <w:left w:w="108" w:type="dxa"/>
            <w:bottom w:w="0" w:type="dxa"/>
            <w:right w:w="108" w:type="dxa"/>
          </w:tblCellMar>
        </w:tblPrEx>
        <w:trPr>
          <w:trHeight w:val="300" w:hRule="atLeast"/>
        </w:trPr>
        <w:tc>
          <w:tcPr>
            <w:tcW w:w="1121" w:type="pct"/>
            <w:gridSpan w:val="2"/>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人员经费合计</w:t>
            </w:r>
          </w:p>
        </w:tc>
        <w:tc>
          <w:tcPr>
            <w:tcW w:w="543"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89.32</w:t>
            </w:r>
          </w:p>
        </w:tc>
        <w:tc>
          <w:tcPr>
            <w:tcW w:w="2876" w:type="pct"/>
            <w:gridSpan w:val="5"/>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公用经费合计</w:t>
            </w:r>
          </w:p>
        </w:tc>
        <w:tc>
          <w:tcPr>
            <w:tcW w:w="460"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r>
              <w:rPr>
                <w:rFonts w:hint="eastAsia" w:ascii="宋体" w:hAnsi="宋体" w:cs="Arial"/>
                <w:kern w:val="0"/>
                <w:sz w:val="20"/>
                <w:szCs w:val="20"/>
              </w:rPr>
              <w:t>5.54</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注：本表反映部门本年度一般公共预算财政拨款基本支出明细情况。</w:t>
            </w:r>
          </w:p>
        </w:tc>
      </w:tr>
    </w:tbl>
    <w:p>
      <w:pPr>
        <w:ind w:firstLine="640" w:firstLineChars="200"/>
        <w:rPr>
          <w:rFonts w:hint="eastAsia" w:ascii="宋体" w:hAnsi="宋体"/>
          <w:sz w:val="32"/>
          <w:szCs w:val="32"/>
        </w:rPr>
      </w:pPr>
    </w:p>
    <w:tbl>
      <w:tblPr>
        <w:tblStyle w:val="4"/>
        <w:tblW w:w="0" w:type="auto"/>
        <w:tblInd w:w="0" w:type="dxa"/>
        <w:tblLayout w:type="fixed"/>
        <w:tblCellMar>
          <w:top w:w="0" w:type="dxa"/>
          <w:left w:w="108" w:type="dxa"/>
          <w:bottom w:w="0" w:type="dxa"/>
          <w:right w:w="108" w:type="dxa"/>
        </w:tblCellMar>
      </w:tblPr>
      <w:tblGrid>
        <w:gridCol w:w="9962"/>
      </w:tblGrid>
      <w:tr>
        <w:tblPrEx>
          <w:tblCellMar>
            <w:top w:w="0" w:type="dxa"/>
            <w:left w:w="108" w:type="dxa"/>
            <w:bottom w:w="0" w:type="dxa"/>
            <w:right w:w="108" w:type="dxa"/>
          </w:tblCellMar>
        </w:tblPrEx>
        <w:trPr>
          <w:trHeight w:val="300" w:hRule="atLeast"/>
        </w:trPr>
        <w:tc>
          <w:tcPr>
            <w:tcW w:w="9962" w:type="dxa"/>
            <w:tcBorders>
              <w:top w:val="nil"/>
              <w:left w:val="nil"/>
              <w:bottom w:val="nil"/>
              <w:right w:val="nil"/>
            </w:tcBorders>
            <w:noWrap/>
            <w:vAlign w:val="center"/>
          </w:tcPr>
          <w:p>
            <w:pPr>
              <w:widowControl/>
              <w:jc w:val="left"/>
              <w:rPr>
                <w:rFonts w:ascii="宋体" w:hAnsi="宋体" w:cs="Arial"/>
                <w:color w:val="FF0000"/>
                <w:kern w:val="0"/>
                <w:sz w:val="20"/>
                <w:szCs w:val="20"/>
              </w:rPr>
            </w:pPr>
          </w:p>
        </w:tc>
      </w:tr>
    </w:tbl>
    <w:p>
      <w:pPr>
        <w:rPr>
          <w:rFonts w:hint="eastAsia" w:ascii="宋体" w:hAnsi="宋体"/>
          <w:sz w:val="32"/>
          <w:szCs w:val="32"/>
        </w:rPr>
      </w:pPr>
    </w:p>
    <w:tbl>
      <w:tblPr>
        <w:tblStyle w:val="4"/>
        <w:tblW w:w="5000" w:type="pct"/>
        <w:tblInd w:w="0" w:type="dxa"/>
        <w:tblLayout w:type="fixed"/>
        <w:tblCellMar>
          <w:top w:w="0" w:type="dxa"/>
          <w:left w:w="108" w:type="dxa"/>
          <w:bottom w:w="0" w:type="dxa"/>
          <w:right w:w="108" w:type="dxa"/>
        </w:tblCellMar>
      </w:tblPr>
      <w:tblGrid>
        <w:gridCol w:w="236"/>
        <w:gridCol w:w="236"/>
        <w:gridCol w:w="236"/>
        <w:gridCol w:w="441"/>
        <w:gridCol w:w="1091"/>
        <w:gridCol w:w="1724"/>
        <w:gridCol w:w="1106"/>
        <w:gridCol w:w="873"/>
        <w:gridCol w:w="1064"/>
        <w:gridCol w:w="1066"/>
        <w:gridCol w:w="1889"/>
      </w:tblGrid>
      <w:tr>
        <w:tblPrEx>
          <w:tblCellMar>
            <w:top w:w="0" w:type="dxa"/>
            <w:left w:w="108" w:type="dxa"/>
            <w:bottom w:w="0" w:type="dxa"/>
            <w:right w:w="108" w:type="dxa"/>
          </w:tblCellMar>
        </w:tblPrEx>
        <w:trPr>
          <w:trHeight w:val="375" w:hRule="atLeast"/>
        </w:trPr>
        <w:tc>
          <w:tcPr>
            <w:tcW w:w="5000" w:type="pct"/>
            <w:gridSpan w:val="11"/>
            <w:tcBorders>
              <w:top w:val="nil"/>
              <w:left w:val="nil"/>
              <w:bottom w:val="nil"/>
              <w:right w:val="nil"/>
            </w:tcBorders>
            <w:noWrap/>
            <w:vAlign w:val="center"/>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300" w:hRule="atLeast"/>
        </w:trPr>
        <w:tc>
          <w:tcPr>
            <w:tcW w:w="118" w:type="pct"/>
            <w:tcBorders>
              <w:top w:val="nil"/>
              <w:left w:val="nil"/>
              <w:bottom w:val="nil"/>
              <w:right w:val="nil"/>
            </w:tcBorders>
            <w:noWrap/>
            <w:vAlign w:val="center"/>
          </w:tcPr>
          <w:p>
            <w:pPr>
              <w:widowControl/>
              <w:jc w:val="left"/>
              <w:rPr>
                <w:rFonts w:ascii="宋体" w:hAnsi="宋体" w:cs="Arial"/>
                <w:kern w:val="0"/>
                <w:sz w:val="18"/>
                <w:szCs w:val="18"/>
              </w:rPr>
            </w:pPr>
          </w:p>
        </w:tc>
        <w:tc>
          <w:tcPr>
            <w:tcW w:w="118" w:type="pct"/>
            <w:tcBorders>
              <w:top w:val="nil"/>
              <w:left w:val="nil"/>
              <w:bottom w:val="nil"/>
              <w:right w:val="nil"/>
            </w:tcBorders>
            <w:noWrap/>
            <w:vAlign w:val="center"/>
          </w:tcPr>
          <w:p>
            <w:pPr>
              <w:widowControl/>
              <w:jc w:val="left"/>
              <w:rPr>
                <w:rFonts w:ascii="宋体" w:hAnsi="宋体" w:cs="Arial"/>
                <w:kern w:val="0"/>
                <w:sz w:val="18"/>
                <w:szCs w:val="18"/>
              </w:rPr>
            </w:pPr>
          </w:p>
        </w:tc>
        <w:tc>
          <w:tcPr>
            <w:tcW w:w="118" w:type="pct"/>
            <w:tcBorders>
              <w:top w:val="nil"/>
              <w:left w:val="nil"/>
              <w:bottom w:val="nil"/>
              <w:right w:val="nil"/>
            </w:tcBorders>
            <w:noWrap/>
            <w:vAlign w:val="center"/>
          </w:tcPr>
          <w:p>
            <w:pPr>
              <w:widowControl/>
              <w:jc w:val="left"/>
              <w:rPr>
                <w:rFonts w:ascii="宋体" w:hAnsi="宋体" w:cs="Arial"/>
                <w:kern w:val="0"/>
                <w:sz w:val="18"/>
                <w:szCs w:val="18"/>
              </w:rPr>
            </w:pPr>
          </w:p>
        </w:tc>
        <w:tc>
          <w:tcPr>
            <w:tcW w:w="768" w:type="pct"/>
            <w:gridSpan w:val="2"/>
            <w:tcBorders>
              <w:top w:val="nil"/>
              <w:left w:val="nil"/>
              <w:bottom w:val="nil"/>
              <w:right w:val="nil"/>
            </w:tcBorders>
            <w:noWrap/>
            <w:vAlign w:val="center"/>
          </w:tcPr>
          <w:p>
            <w:pPr>
              <w:widowControl/>
              <w:jc w:val="left"/>
              <w:rPr>
                <w:rFonts w:ascii="宋体" w:hAnsi="宋体" w:cs="Arial"/>
                <w:kern w:val="0"/>
                <w:sz w:val="18"/>
                <w:szCs w:val="18"/>
              </w:rPr>
            </w:pPr>
          </w:p>
        </w:tc>
        <w:tc>
          <w:tcPr>
            <w:tcW w:w="866" w:type="pct"/>
            <w:tcBorders>
              <w:top w:val="nil"/>
              <w:left w:val="nil"/>
              <w:bottom w:val="nil"/>
              <w:right w:val="nil"/>
            </w:tcBorders>
            <w:noWrap/>
            <w:vAlign w:val="center"/>
          </w:tcPr>
          <w:p>
            <w:pPr>
              <w:widowControl/>
              <w:jc w:val="left"/>
              <w:rPr>
                <w:rFonts w:ascii="宋体" w:hAnsi="宋体" w:cs="Arial"/>
                <w:kern w:val="0"/>
                <w:sz w:val="18"/>
                <w:szCs w:val="18"/>
              </w:rPr>
            </w:pPr>
          </w:p>
        </w:tc>
        <w:tc>
          <w:tcPr>
            <w:tcW w:w="555" w:type="pct"/>
            <w:tcBorders>
              <w:top w:val="nil"/>
              <w:left w:val="nil"/>
              <w:bottom w:val="nil"/>
              <w:right w:val="nil"/>
            </w:tcBorders>
            <w:noWrap/>
            <w:vAlign w:val="center"/>
          </w:tcPr>
          <w:p>
            <w:pPr>
              <w:widowControl/>
              <w:jc w:val="left"/>
              <w:rPr>
                <w:rFonts w:ascii="宋体" w:hAnsi="宋体" w:cs="Arial"/>
                <w:kern w:val="0"/>
                <w:sz w:val="18"/>
                <w:szCs w:val="18"/>
              </w:rPr>
            </w:pPr>
          </w:p>
        </w:tc>
        <w:tc>
          <w:tcPr>
            <w:tcW w:w="437" w:type="pct"/>
            <w:tcBorders>
              <w:top w:val="nil"/>
              <w:left w:val="nil"/>
              <w:bottom w:val="nil"/>
              <w:right w:val="nil"/>
            </w:tcBorders>
            <w:noWrap/>
            <w:vAlign w:val="center"/>
          </w:tcPr>
          <w:p>
            <w:pPr>
              <w:widowControl/>
              <w:jc w:val="left"/>
              <w:rPr>
                <w:rFonts w:ascii="宋体" w:hAnsi="宋体" w:cs="Arial"/>
                <w:kern w:val="0"/>
                <w:sz w:val="18"/>
                <w:szCs w:val="18"/>
              </w:rPr>
            </w:pPr>
          </w:p>
        </w:tc>
        <w:tc>
          <w:tcPr>
            <w:tcW w:w="534" w:type="pct"/>
            <w:tcBorders>
              <w:top w:val="nil"/>
              <w:left w:val="nil"/>
              <w:bottom w:val="nil"/>
              <w:right w:val="nil"/>
            </w:tcBorders>
            <w:noWrap/>
            <w:vAlign w:val="center"/>
          </w:tcPr>
          <w:p>
            <w:pPr>
              <w:widowControl/>
              <w:jc w:val="left"/>
              <w:rPr>
                <w:rFonts w:ascii="宋体" w:hAnsi="宋体" w:cs="Arial"/>
                <w:kern w:val="0"/>
                <w:sz w:val="18"/>
                <w:szCs w:val="18"/>
              </w:rPr>
            </w:pPr>
          </w:p>
        </w:tc>
        <w:tc>
          <w:tcPr>
            <w:tcW w:w="535" w:type="pct"/>
            <w:tcBorders>
              <w:top w:val="nil"/>
              <w:left w:val="nil"/>
              <w:bottom w:val="nil"/>
              <w:right w:val="nil"/>
            </w:tcBorders>
            <w:noWrap/>
            <w:vAlign w:val="center"/>
          </w:tcPr>
          <w:p>
            <w:pPr>
              <w:widowControl/>
              <w:jc w:val="left"/>
              <w:rPr>
                <w:rFonts w:ascii="宋体" w:hAnsi="宋体" w:cs="Arial"/>
                <w:kern w:val="0"/>
                <w:sz w:val="18"/>
                <w:szCs w:val="18"/>
              </w:rPr>
            </w:pPr>
          </w:p>
        </w:tc>
        <w:tc>
          <w:tcPr>
            <w:tcW w:w="949" w:type="pct"/>
            <w:tcBorders>
              <w:top w:val="nil"/>
              <w:left w:val="nil"/>
              <w:bottom w:val="nil"/>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公开07表</w:t>
            </w:r>
          </w:p>
        </w:tc>
      </w:tr>
      <w:tr>
        <w:tblPrEx>
          <w:tblCellMar>
            <w:top w:w="0" w:type="dxa"/>
            <w:left w:w="108" w:type="dxa"/>
            <w:bottom w:w="0" w:type="dxa"/>
            <w:right w:w="108" w:type="dxa"/>
          </w:tblCellMar>
        </w:tblPrEx>
        <w:trPr>
          <w:trHeight w:val="300" w:hRule="atLeast"/>
        </w:trPr>
        <w:tc>
          <w:tcPr>
            <w:tcW w:w="1123" w:type="pct"/>
            <w:gridSpan w:val="5"/>
            <w:tcBorders>
              <w:top w:val="nil"/>
              <w:left w:val="nil"/>
              <w:bottom w:val="single" w:color="000000" w:sz="4" w:space="0"/>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灵乡镇党群服务中心</w:t>
            </w:r>
          </w:p>
        </w:tc>
        <w:tc>
          <w:tcPr>
            <w:tcW w:w="1859" w:type="pct"/>
            <w:gridSpan w:val="3"/>
            <w:tcBorders>
              <w:top w:val="nil"/>
              <w:left w:val="nil"/>
              <w:bottom w:val="single" w:color="000000" w:sz="4" w:space="0"/>
              <w:right w:val="nil"/>
            </w:tcBorders>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w:t>
            </w:r>
            <w:r>
              <w:rPr>
                <w:rFonts w:hint="eastAsia" w:ascii="宋体" w:hAnsi="宋体" w:cs="Arial"/>
                <w:kern w:val="0"/>
                <w:sz w:val="18"/>
                <w:szCs w:val="18"/>
              </w:rPr>
              <w:t>　</w:t>
            </w:r>
          </w:p>
        </w:tc>
        <w:tc>
          <w:tcPr>
            <w:tcW w:w="534" w:type="pct"/>
            <w:tcBorders>
              <w:top w:val="nil"/>
              <w:left w:val="nil"/>
              <w:bottom w:val="single" w:color="000000" w:sz="4" w:space="0"/>
              <w:right w:val="nil"/>
            </w:tcBorders>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535" w:type="pct"/>
            <w:tcBorders>
              <w:top w:val="nil"/>
              <w:left w:val="nil"/>
              <w:bottom w:val="single" w:color="000000" w:sz="4" w:space="0"/>
              <w:right w:val="nil"/>
            </w:tcBorders>
            <w:noWrap/>
            <w:vAlign w:val="center"/>
          </w:tcPr>
          <w:p>
            <w:pPr>
              <w:widowControl/>
              <w:jc w:val="center"/>
              <w:rPr>
                <w:rFonts w:ascii="宋体" w:hAnsi="宋体" w:cs="Arial"/>
                <w:kern w:val="0"/>
                <w:sz w:val="18"/>
                <w:szCs w:val="18"/>
              </w:rPr>
            </w:pPr>
            <w:r>
              <w:rPr>
                <w:rFonts w:hint="eastAsia" w:ascii="宋体" w:hAnsi="宋体" w:cs="Arial"/>
                <w:kern w:val="0"/>
                <w:sz w:val="18"/>
                <w:szCs w:val="18"/>
              </w:rPr>
              <w:t>　</w:t>
            </w:r>
          </w:p>
        </w:tc>
        <w:tc>
          <w:tcPr>
            <w:tcW w:w="949" w:type="pct"/>
            <w:tcBorders>
              <w:top w:val="nil"/>
              <w:left w:val="nil"/>
              <w:bottom w:val="single" w:color="000000" w:sz="4" w:space="0"/>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tblPrEx>
          <w:tblCellMar>
            <w:top w:w="0" w:type="dxa"/>
            <w:left w:w="108" w:type="dxa"/>
            <w:bottom w:w="0" w:type="dxa"/>
            <w:right w:w="108" w:type="dxa"/>
          </w:tblCellMar>
        </w:tblPrEx>
        <w:trPr>
          <w:trHeight w:val="300" w:hRule="atLeast"/>
        </w:trPr>
        <w:tc>
          <w:tcPr>
            <w:tcW w:w="1123" w:type="pct"/>
            <w:gridSpan w:val="5"/>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866"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年初结转和结余</w:t>
            </w:r>
          </w:p>
        </w:tc>
        <w:tc>
          <w:tcPr>
            <w:tcW w:w="555"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本年收入</w:t>
            </w:r>
          </w:p>
        </w:tc>
        <w:tc>
          <w:tcPr>
            <w:tcW w:w="1506" w:type="pct"/>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本年支出</w:t>
            </w:r>
          </w:p>
        </w:tc>
        <w:tc>
          <w:tcPr>
            <w:tcW w:w="949"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年末结转和结余</w:t>
            </w:r>
          </w:p>
        </w:tc>
      </w:tr>
      <w:tr>
        <w:tblPrEx>
          <w:tblCellMar>
            <w:top w:w="0" w:type="dxa"/>
            <w:left w:w="108" w:type="dxa"/>
            <w:bottom w:w="0" w:type="dxa"/>
            <w:right w:w="108" w:type="dxa"/>
          </w:tblCellMar>
        </w:tblPrEx>
        <w:trPr>
          <w:trHeight w:val="312" w:hRule="atLeast"/>
        </w:trPr>
        <w:tc>
          <w:tcPr>
            <w:tcW w:w="576" w:type="pct"/>
            <w:gridSpan w:val="4"/>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548" w:type="pct"/>
            <w:vMerge w:val="restar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866"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437"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小计</w:t>
            </w:r>
          </w:p>
        </w:tc>
        <w:tc>
          <w:tcPr>
            <w:tcW w:w="534"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基本支出</w:t>
            </w:r>
          </w:p>
        </w:tc>
        <w:tc>
          <w:tcPr>
            <w:tcW w:w="535"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项目支出</w:t>
            </w:r>
          </w:p>
        </w:tc>
        <w:tc>
          <w:tcPr>
            <w:tcW w:w="949"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rPr>
          <w:trHeight w:val="312" w:hRule="atLeast"/>
        </w:trPr>
        <w:tc>
          <w:tcPr>
            <w:tcW w:w="576" w:type="pct"/>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4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66"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437"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34"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3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949"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576" w:type="pct"/>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4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66"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437"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34"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535"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949"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123" w:type="pct"/>
            <w:gridSpan w:val="5"/>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栏次</w:t>
            </w:r>
          </w:p>
        </w:tc>
        <w:tc>
          <w:tcPr>
            <w:tcW w:w="866"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555"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437"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c>
          <w:tcPr>
            <w:tcW w:w="534"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4</w:t>
            </w:r>
          </w:p>
        </w:tc>
        <w:tc>
          <w:tcPr>
            <w:tcW w:w="535"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5</w:t>
            </w:r>
          </w:p>
        </w:tc>
        <w:tc>
          <w:tcPr>
            <w:tcW w:w="949"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6</w:t>
            </w:r>
          </w:p>
        </w:tc>
      </w:tr>
      <w:tr>
        <w:tblPrEx>
          <w:tblCellMar>
            <w:top w:w="0" w:type="dxa"/>
            <w:left w:w="108" w:type="dxa"/>
            <w:bottom w:w="0" w:type="dxa"/>
            <w:right w:w="108" w:type="dxa"/>
          </w:tblCellMar>
        </w:tblPrEx>
        <w:trPr>
          <w:trHeight w:val="300" w:hRule="atLeast"/>
        </w:trPr>
        <w:tc>
          <w:tcPr>
            <w:tcW w:w="1123" w:type="pct"/>
            <w:gridSpan w:val="5"/>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合计</w:t>
            </w:r>
          </w:p>
        </w:tc>
        <w:tc>
          <w:tcPr>
            <w:tcW w:w="866"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55"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437"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34"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35"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949"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576" w:type="pct"/>
            <w:gridSpan w:val="4"/>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p>
        </w:tc>
        <w:tc>
          <w:tcPr>
            <w:tcW w:w="548"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p>
        </w:tc>
        <w:tc>
          <w:tcPr>
            <w:tcW w:w="866"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555"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437"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534"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535"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949"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center"/>
          </w:tcPr>
          <w:p>
            <w:pPr>
              <w:widowControl/>
              <w:jc w:val="left"/>
              <w:rPr>
                <w:rFonts w:ascii="宋体" w:hAnsi="宋体" w:cs="Arial"/>
                <w:color w:val="000000"/>
                <w:kern w:val="0"/>
                <w:sz w:val="20"/>
                <w:szCs w:val="20"/>
              </w:rPr>
            </w:pPr>
            <w:r>
              <w:rPr>
                <w:rFonts w:hint="eastAsia" w:ascii="宋体" w:hAnsi="宋体" w:cs="Arial"/>
                <w:kern w:val="0"/>
                <w:sz w:val="20"/>
                <w:szCs w:val="20"/>
              </w:rPr>
              <w:t>注：</w:t>
            </w:r>
            <w:r>
              <w:rPr>
                <w:rFonts w:hint="eastAsia" w:ascii="宋体" w:hAnsi="宋体" w:cs="Arial"/>
                <w:color w:val="000000"/>
                <w:kern w:val="0"/>
                <w:sz w:val="20"/>
                <w:szCs w:val="20"/>
              </w:rPr>
              <w:t>本单位无此项内容，故本表无数据。</w:t>
            </w:r>
          </w:p>
        </w:tc>
      </w:tr>
    </w:tbl>
    <w:p>
      <w:pPr>
        <w:rPr>
          <w:rFonts w:hint="eastAsia" w:ascii="宋体" w:hAnsi="宋体"/>
          <w:sz w:val="32"/>
          <w:szCs w:val="32"/>
        </w:rPr>
      </w:pPr>
    </w:p>
    <w:p>
      <w:pPr>
        <w:ind w:firstLine="640" w:firstLineChars="200"/>
        <w:rPr>
          <w:rFonts w:hint="eastAsia" w:ascii="宋体" w:hAnsi="宋体"/>
          <w:sz w:val="32"/>
          <w:szCs w:val="32"/>
        </w:rPr>
      </w:pPr>
    </w:p>
    <w:p>
      <w:pPr>
        <w:pStyle w:val="2"/>
        <w:rPr>
          <w:rFonts w:hint="eastAsia"/>
        </w:rPr>
      </w:pPr>
    </w:p>
    <w:tbl>
      <w:tblPr>
        <w:tblStyle w:val="4"/>
        <w:tblW w:w="5000" w:type="pct"/>
        <w:tblInd w:w="0" w:type="dxa"/>
        <w:tblLayout w:type="autofit"/>
        <w:tblCellMar>
          <w:top w:w="0" w:type="dxa"/>
          <w:left w:w="108" w:type="dxa"/>
          <w:bottom w:w="0" w:type="dxa"/>
          <w:right w:w="108" w:type="dxa"/>
        </w:tblCellMar>
      </w:tblPr>
      <w:tblGrid>
        <w:gridCol w:w="739"/>
        <w:gridCol w:w="729"/>
        <w:gridCol w:w="729"/>
        <w:gridCol w:w="1648"/>
        <w:gridCol w:w="1630"/>
        <w:gridCol w:w="1630"/>
        <w:gridCol w:w="2857"/>
      </w:tblGrid>
      <w:tr>
        <w:tblPrEx>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noWrap/>
            <w:vAlign w:val="center"/>
          </w:tcPr>
          <w:p>
            <w:pPr>
              <w:widowControl/>
              <w:jc w:val="center"/>
              <w:rPr>
                <w:rFonts w:ascii="宋体" w:hAnsi="宋体" w:cs="Arial"/>
                <w:color w:val="000000"/>
                <w:kern w:val="0"/>
                <w:sz w:val="30"/>
                <w:szCs w:val="30"/>
              </w:rPr>
            </w:pPr>
            <w:r>
              <w:rPr>
                <w:rFonts w:hint="eastAsia" w:ascii="宋体" w:hAnsi="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300" w:hRule="atLeast"/>
        </w:trPr>
        <w:tc>
          <w:tcPr>
            <w:tcW w:w="371" w:type="pct"/>
            <w:tcBorders>
              <w:top w:val="nil"/>
              <w:left w:val="nil"/>
              <w:bottom w:val="nil"/>
              <w:right w:val="nil"/>
            </w:tcBorders>
            <w:noWrap/>
            <w:vAlign w:val="center"/>
          </w:tcPr>
          <w:p>
            <w:pPr>
              <w:widowControl/>
              <w:jc w:val="left"/>
              <w:rPr>
                <w:rFonts w:ascii="宋体" w:hAnsi="宋体" w:cs="Arial"/>
                <w:kern w:val="0"/>
                <w:sz w:val="18"/>
                <w:szCs w:val="18"/>
              </w:rPr>
            </w:pPr>
          </w:p>
        </w:tc>
        <w:tc>
          <w:tcPr>
            <w:tcW w:w="366" w:type="pct"/>
            <w:tcBorders>
              <w:top w:val="nil"/>
              <w:left w:val="nil"/>
              <w:bottom w:val="nil"/>
              <w:right w:val="nil"/>
            </w:tcBorders>
            <w:noWrap/>
            <w:vAlign w:val="center"/>
          </w:tcPr>
          <w:p>
            <w:pPr>
              <w:widowControl/>
              <w:jc w:val="left"/>
              <w:rPr>
                <w:rFonts w:ascii="宋体" w:hAnsi="宋体" w:cs="Arial"/>
                <w:kern w:val="0"/>
                <w:sz w:val="18"/>
                <w:szCs w:val="18"/>
              </w:rPr>
            </w:pPr>
          </w:p>
        </w:tc>
        <w:tc>
          <w:tcPr>
            <w:tcW w:w="366" w:type="pct"/>
            <w:tcBorders>
              <w:top w:val="nil"/>
              <w:left w:val="nil"/>
              <w:bottom w:val="nil"/>
              <w:right w:val="nil"/>
            </w:tcBorders>
            <w:noWrap/>
            <w:vAlign w:val="center"/>
          </w:tcPr>
          <w:p>
            <w:pPr>
              <w:widowControl/>
              <w:jc w:val="left"/>
              <w:rPr>
                <w:rFonts w:ascii="宋体" w:hAnsi="宋体" w:cs="Arial"/>
                <w:kern w:val="0"/>
                <w:sz w:val="18"/>
                <w:szCs w:val="18"/>
              </w:rPr>
            </w:pPr>
          </w:p>
        </w:tc>
        <w:tc>
          <w:tcPr>
            <w:tcW w:w="827" w:type="pct"/>
            <w:tcBorders>
              <w:top w:val="nil"/>
              <w:left w:val="nil"/>
              <w:bottom w:val="nil"/>
              <w:right w:val="nil"/>
            </w:tcBorders>
            <w:noWrap/>
            <w:vAlign w:val="center"/>
          </w:tcPr>
          <w:p>
            <w:pPr>
              <w:widowControl/>
              <w:jc w:val="left"/>
              <w:rPr>
                <w:rFonts w:ascii="宋体" w:hAnsi="宋体" w:cs="Arial"/>
                <w:kern w:val="0"/>
                <w:sz w:val="18"/>
                <w:szCs w:val="18"/>
              </w:rPr>
            </w:pPr>
          </w:p>
        </w:tc>
        <w:tc>
          <w:tcPr>
            <w:tcW w:w="818" w:type="pct"/>
            <w:tcBorders>
              <w:top w:val="nil"/>
              <w:left w:val="nil"/>
              <w:bottom w:val="nil"/>
              <w:right w:val="nil"/>
            </w:tcBorders>
            <w:noWrap/>
            <w:vAlign w:val="center"/>
          </w:tcPr>
          <w:p>
            <w:pPr>
              <w:widowControl/>
              <w:jc w:val="left"/>
              <w:rPr>
                <w:rFonts w:ascii="宋体" w:hAnsi="宋体" w:cs="Arial"/>
                <w:kern w:val="0"/>
                <w:sz w:val="18"/>
                <w:szCs w:val="18"/>
              </w:rPr>
            </w:pPr>
          </w:p>
        </w:tc>
        <w:tc>
          <w:tcPr>
            <w:tcW w:w="818" w:type="pct"/>
            <w:tcBorders>
              <w:top w:val="nil"/>
              <w:left w:val="nil"/>
              <w:bottom w:val="nil"/>
              <w:right w:val="nil"/>
            </w:tcBorders>
            <w:noWrap/>
            <w:vAlign w:val="center"/>
          </w:tcPr>
          <w:p>
            <w:pPr>
              <w:widowControl/>
              <w:jc w:val="left"/>
              <w:rPr>
                <w:rFonts w:ascii="宋体" w:hAnsi="宋体" w:cs="Arial"/>
                <w:kern w:val="0"/>
                <w:sz w:val="18"/>
                <w:szCs w:val="18"/>
              </w:rPr>
            </w:pPr>
          </w:p>
        </w:tc>
        <w:tc>
          <w:tcPr>
            <w:tcW w:w="1434" w:type="pct"/>
            <w:tcBorders>
              <w:top w:val="nil"/>
              <w:left w:val="nil"/>
              <w:bottom w:val="nil"/>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公开08表</w:t>
            </w: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single" w:color="000000" w:sz="4" w:space="0"/>
              <w:right w:val="nil"/>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灵乡镇党群服务中心</w:t>
            </w:r>
            <w:r>
              <w:rPr>
                <w:rFonts w:hint="eastAsia" w:ascii="宋体" w:hAnsi="宋体" w:cs="Arial"/>
                <w:color w:val="000000"/>
                <w:kern w:val="0"/>
                <w:sz w:val="22"/>
              </w:rPr>
              <w:t xml:space="preserve">                                            金额单位：万元</w:t>
            </w:r>
          </w:p>
        </w:tc>
      </w:tr>
      <w:tr>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3070" w:type="pct"/>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本年支出</w:t>
            </w:r>
          </w:p>
        </w:tc>
      </w:tr>
      <w:tr>
        <w:tblPrEx>
          <w:tblCellMar>
            <w:top w:w="0" w:type="dxa"/>
            <w:left w:w="108" w:type="dxa"/>
            <w:bottom w:w="0" w:type="dxa"/>
            <w:right w:w="108" w:type="dxa"/>
          </w:tblCellMar>
        </w:tblPrEx>
        <w:trPr>
          <w:trHeight w:val="312" w:hRule="atLeast"/>
        </w:trPr>
        <w:tc>
          <w:tcPr>
            <w:tcW w:w="1103" w:type="pct"/>
            <w:gridSpan w:val="3"/>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827" w:type="pct"/>
            <w:vMerge w:val="restar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818"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818"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434" w:type="pct"/>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kern w:val="0"/>
                <w:sz w:val="20"/>
                <w:szCs w:val="20"/>
              </w:rPr>
            </w:pPr>
            <w:r>
              <w:rPr>
                <w:rFonts w:hint="eastAsia" w:ascii="宋体" w:hAnsi="宋体" w:cs="Arial"/>
                <w:kern w:val="0"/>
                <w:sz w:val="20"/>
                <w:szCs w:val="20"/>
              </w:rPr>
              <w:t>项目支出</w:t>
            </w:r>
          </w:p>
        </w:tc>
      </w:tr>
      <w:tr>
        <w:tblPrEx>
          <w:tblCellMar>
            <w:top w:w="0" w:type="dxa"/>
            <w:left w:w="108" w:type="dxa"/>
            <w:bottom w:w="0" w:type="dxa"/>
            <w:right w:w="108" w:type="dxa"/>
          </w:tblCellMar>
        </w:tblPrEx>
        <w:trPr>
          <w:trHeight w:val="312" w:hRule="atLeast"/>
        </w:trPr>
        <w:tc>
          <w:tcPr>
            <w:tcW w:w="1103"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27"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434"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12" w:hRule="atLeast"/>
        </w:trPr>
        <w:tc>
          <w:tcPr>
            <w:tcW w:w="1103"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27"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818"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c>
          <w:tcPr>
            <w:tcW w:w="1434"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栏次</w:t>
            </w:r>
          </w:p>
        </w:tc>
        <w:tc>
          <w:tcPr>
            <w:tcW w:w="818"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818"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1434" w:type="pct"/>
            <w:tcBorders>
              <w:top w:val="nil"/>
              <w:left w:val="nil"/>
              <w:bottom w:val="single" w:color="000000" w:sz="4" w:space="0"/>
              <w:right w:val="single" w:color="000000" w:sz="4" w:space="0"/>
            </w:tcBorders>
            <w:noWrap/>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r>
      <w:tr>
        <w:tblPrEx>
          <w:tblCellMar>
            <w:top w:w="0" w:type="dxa"/>
            <w:left w:w="108" w:type="dxa"/>
            <w:bottom w:w="0" w:type="dxa"/>
            <w:right w:w="108" w:type="dxa"/>
          </w:tblCellMar>
        </w:tblPrEx>
        <w:trPr>
          <w:trHeight w:val="300" w:hRule="atLeast"/>
        </w:trPr>
        <w:tc>
          <w:tcPr>
            <w:tcW w:w="1930" w:type="pct"/>
            <w:gridSpan w:val="4"/>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r>
              <w:rPr>
                <w:rFonts w:hint="eastAsia" w:ascii="宋体" w:hAnsi="宋体" w:cs="Arial"/>
                <w:kern w:val="0"/>
                <w:sz w:val="20"/>
                <w:szCs w:val="20"/>
              </w:rPr>
              <w:t>合计</w:t>
            </w:r>
          </w:p>
        </w:tc>
        <w:tc>
          <w:tcPr>
            <w:tcW w:w="818"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18"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434" w:type="pct"/>
            <w:tcBorders>
              <w:top w:val="nil"/>
              <w:left w:val="nil"/>
              <w:bottom w:val="single" w:color="000000" w:sz="4" w:space="0"/>
              <w:right w:val="single" w:color="000000" w:sz="4" w:space="0"/>
            </w:tcBorders>
            <w:noWrap/>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CellMar>
            <w:top w:w="0" w:type="dxa"/>
            <w:left w:w="108" w:type="dxa"/>
            <w:bottom w:w="0" w:type="dxa"/>
            <w:right w:w="108" w:type="dxa"/>
          </w:tblCellMar>
        </w:tblPrEx>
        <w:trPr>
          <w:trHeight w:val="300" w:hRule="atLeast"/>
        </w:trPr>
        <w:tc>
          <w:tcPr>
            <w:tcW w:w="1103" w:type="pct"/>
            <w:gridSpan w:val="3"/>
            <w:tcBorders>
              <w:top w:val="nil"/>
              <w:left w:val="single" w:color="000000" w:sz="4" w:space="0"/>
              <w:bottom w:val="single" w:color="000000" w:sz="4" w:space="0"/>
              <w:right w:val="single" w:color="000000" w:sz="4" w:space="0"/>
            </w:tcBorders>
            <w:noWrap/>
            <w:vAlign w:val="center"/>
          </w:tcPr>
          <w:p>
            <w:pPr>
              <w:widowControl/>
              <w:jc w:val="left"/>
              <w:rPr>
                <w:rFonts w:ascii="宋体" w:hAnsi="宋体" w:cs="Arial"/>
                <w:kern w:val="0"/>
                <w:sz w:val="20"/>
                <w:szCs w:val="20"/>
              </w:rPr>
            </w:pPr>
          </w:p>
        </w:tc>
        <w:tc>
          <w:tcPr>
            <w:tcW w:w="827" w:type="pct"/>
            <w:tcBorders>
              <w:top w:val="nil"/>
              <w:left w:val="nil"/>
              <w:bottom w:val="single" w:color="000000" w:sz="4" w:space="0"/>
              <w:right w:val="single" w:color="000000" w:sz="4" w:space="0"/>
            </w:tcBorders>
            <w:noWrap/>
            <w:vAlign w:val="center"/>
          </w:tcPr>
          <w:p>
            <w:pPr>
              <w:widowControl/>
              <w:jc w:val="left"/>
              <w:rPr>
                <w:rFonts w:ascii="宋体" w:hAnsi="宋体" w:cs="Arial"/>
                <w:kern w:val="0"/>
                <w:sz w:val="20"/>
                <w:szCs w:val="20"/>
              </w:rPr>
            </w:pPr>
          </w:p>
        </w:tc>
        <w:tc>
          <w:tcPr>
            <w:tcW w:w="818"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818"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c>
          <w:tcPr>
            <w:tcW w:w="1434" w:type="pct"/>
            <w:tcBorders>
              <w:top w:val="nil"/>
              <w:left w:val="nil"/>
              <w:bottom w:val="single" w:color="000000" w:sz="4" w:space="0"/>
              <w:right w:val="single" w:color="000000" w:sz="4" w:space="0"/>
            </w:tcBorders>
            <w:noWrap/>
            <w:vAlign w:val="center"/>
          </w:tcPr>
          <w:p>
            <w:pPr>
              <w:widowControl/>
              <w:jc w:val="right"/>
              <w:rPr>
                <w:rFonts w:ascii="宋体" w:hAnsi="宋体" w:cs="Arial"/>
                <w:kern w:val="0"/>
                <w:sz w:val="20"/>
                <w:szCs w:val="20"/>
              </w:rPr>
            </w:pP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noWrap/>
            <w:vAlign w:val="center"/>
          </w:tcPr>
          <w:p>
            <w:pPr>
              <w:widowControl/>
              <w:jc w:val="left"/>
              <w:rPr>
                <w:rFonts w:ascii="宋体" w:hAnsi="宋体" w:cs="Arial"/>
                <w:color w:val="000000"/>
                <w:kern w:val="0"/>
                <w:sz w:val="20"/>
                <w:szCs w:val="20"/>
              </w:rPr>
            </w:pPr>
            <w:r>
              <w:rPr>
                <w:rFonts w:hint="eastAsia" w:ascii="宋体" w:hAnsi="宋体" w:cs="Arial"/>
                <w:kern w:val="0"/>
                <w:sz w:val="20"/>
                <w:szCs w:val="20"/>
              </w:rPr>
              <w:t>注：</w:t>
            </w:r>
            <w:r>
              <w:rPr>
                <w:rFonts w:hint="eastAsia" w:ascii="宋体" w:hAnsi="宋体" w:cs="Arial"/>
                <w:color w:val="000000"/>
                <w:kern w:val="0"/>
                <w:sz w:val="20"/>
                <w:szCs w:val="20"/>
              </w:rPr>
              <w:t>本单位无此项内容，故本表无数据。</w:t>
            </w:r>
          </w:p>
        </w:tc>
      </w:tr>
    </w:tbl>
    <w:p>
      <w:pPr>
        <w:ind w:firstLine="640" w:firstLineChars="200"/>
        <w:rPr>
          <w:rFonts w:hint="eastAsia" w:ascii="宋体" w:hAnsi="宋体"/>
          <w:sz w:val="32"/>
          <w:szCs w:val="32"/>
        </w:rPr>
      </w:pPr>
    </w:p>
    <w:p>
      <w:pPr>
        <w:ind w:firstLine="562" w:firstLineChars="200"/>
        <w:rPr>
          <w:rFonts w:hint="eastAsia" w:ascii="宋体" w:hAnsi="宋体"/>
          <w:b/>
          <w:color w:val="FF0000"/>
          <w:sz w:val="28"/>
          <w:szCs w:val="28"/>
          <w:highlight w:val="yellow"/>
        </w:rPr>
      </w:pPr>
    </w:p>
    <w:tbl>
      <w:tblPr>
        <w:tblStyle w:val="4"/>
        <w:tblW w:w="0" w:type="auto"/>
        <w:tblInd w:w="-34" w:type="dxa"/>
        <w:tblLayout w:type="fixed"/>
        <w:tblCellMar>
          <w:top w:w="0" w:type="dxa"/>
          <w:left w:w="108" w:type="dxa"/>
          <w:bottom w:w="0" w:type="dxa"/>
          <w:right w:w="108" w:type="dxa"/>
        </w:tblCellMar>
      </w:tblPr>
      <w:tblGrid>
        <w:gridCol w:w="709"/>
        <w:gridCol w:w="993"/>
        <w:gridCol w:w="708"/>
        <w:gridCol w:w="103"/>
        <w:gridCol w:w="393"/>
        <w:gridCol w:w="213"/>
        <w:gridCol w:w="181"/>
        <w:gridCol w:w="394"/>
        <w:gridCol w:w="276"/>
        <w:gridCol w:w="850"/>
        <w:gridCol w:w="709"/>
        <w:gridCol w:w="850"/>
        <w:gridCol w:w="103"/>
        <w:gridCol w:w="606"/>
        <w:gridCol w:w="143"/>
        <w:gridCol w:w="394"/>
        <w:gridCol w:w="394"/>
        <w:gridCol w:w="61"/>
        <w:gridCol w:w="333"/>
        <w:gridCol w:w="801"/>
        <w:gridCol w:w="782"/>
      </w:tblGrid>
      <w:tr>
        <w:tblPrEx>
          <w:tblCellMar>
            <w:top w:w="0" w:type="dxa"/>
            <w:left w:w="108" w:type="dxa"/>
            <w:bottom w:w="0" w:type="dxa"/>
            <w:right w:w="108" w:type="dxa"/>
          </w:tblCellMar>
        </w:tblPrEx>
        <w:trPr>
          <w:trHeight w:val="555" w:hRule="atLeast"/>
        </w:trPr>
        <w:tc>
          <w:tcPr>
            <w:tcW w:w="9996" w:type="dxa"/>
            <w:gridSpan w:val="21"/>
            <w:tcBorders>
              <w:top w:val="nil"/>
              <w:left w:val="nil"/>
              <w:bottom w:val="nil"/>
              <w:right w:val="nil"/>
            </w:tcBorders>
            <w:noWrap/>
            <w:vAlign w:val="center"/>
          </w:tcPr>
          <w:p>
            <w:pPr>
              <w:widowControl/>
              <w:jc w:val="center"/>
              <w:rPr>
                <w:rFonts w:ascii="宋体" w:hAnsi="宋体" w:cs="Arial"/>
                <w:color w:val="000000"/>
                <w:kern w:val="0"/>
                <w:sz w:val="44"/>
                <w:szCs w:val="44"/>
              </w:rPr>
            </w:pPr>
            <w:r>
              <w:rPr>
                <w:rFonts w:hint="eastAsia" w:ascii="宋体" w:hAnsi="宋体" w:cs="Arial"/>
                <w:color w:val="000000"/>
                <w:kern w:val="0"/>
                <w:sz w:val="30"/>
                <w:szCs w:val="30"/>
              </w:rPr>
              <w:t>财政拨款“三公”经费支出决算表</w:t>
            </w:r>
          </w:p>
        </w:tc>
      </w:tr>
      <w:tr>
        <w:tblPrEx>
          <w:tblCellMar>
            <w:top w:w="0" w:type="dxa"/>
            <w:left w:w="108" w:type="dxa"/>
            <w:bottom w:w="0" w:type="dxa"/>
            <w:right w:w="108" w:type="dxa"/>
          </w:tblCellMar>
        </w:tblPrEx>
        <w:trPr>
          <w:trHeight w:val="300" w:hRule="atLeast"/>
        </w:trPr>
        <w:tc>
          <w:tcPr>
            <w:tcW w:w="2513" w:type="dxa"/>
            <w:gridSpan w:val="4"/>
            <w:tcBorders>
              <w:top w:val="nil"/>
              <w:left w:val="nil"/>
              <w:bottom w:val="nil"/>
              <w:right w:val="nil"/>
            </w:tcBorders>
            <w:noWrap/>
            <w:vAlign w:val="center"/>
          </w:tcPr>
          <w:p>
            <w:pPr>
              <w:widowControl/>
              <w:jc w:val="left"/>
              <w:rPr>
                <w:rFonts w:ascii="宋体" w:hAnsi="宋体" w:cs="Arial"/>
                <w:color w:val="000000"/>
                <w:kern w:val="0"/>
                <w:sz w:val="22"/>
              </w:rPr>
            </w:pPr>
          </w:p>
        </w:tc>
        <w:tc>
          <w:tcPr>
            <w:tcW w:w="393" w:type="dxa"/>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394" w:type="dxa"/>
            <w:gridSpan w:val="2"/>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394" w:type="dxa"/>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1126" w:type="dxa"/>
            <w:gridSpan w:val="2"/>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1662" w:type="dxa"/>
            <w:gridSpan w:val="3"/>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749" w:type="dxa"/>
            <w:gridSpan w:val="2"/>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394" w:type="dxa"/>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394" w:type="dxa"/>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394" w:type="dxa"/>
            <w:gridSpan w:val="2"/>
            <w:tcBorders>
              <w:top w:val="nil"/>
              <w:left w:val="nil"/>
              <w:bottom w:val="nil"/>
              <w:right w:val="nil"/>
            </w:tcBorders>
            <w:noWrap/>
            <w:vAlign w:val="center"/>
          </w:tcPr>
          <w:p>
            <w:pPr>
              <w:widowControl/>
              <w:jc w:val="left"/>
              <w:rPr>
                <w:rFonts w:ascii="宋体" w:hAnsi="宋体" w:cs="Arial"/>
                <w:color w:val="000000"/>
                <w:kern w:val="0"/>
                <w:sz w:val="18"/>
                <w:szCs w:val="18"/>
              </w:rPr>
            </w:pPr>
          </w:p>
        </w:tc>
        <w:tc>
          <w:tcPr>
            <w:tcW w:w="1583" w:type="dxa"/>
            <w:gridSpan w:val="2"/>
            <w:tcBorders>
              <w:top w:val="nil"/>
              <w:left w:val="nil"/>
              <w:bottom w:val="nil"/>
              <w:right w:val="nil"/>
            </w:tcBorders>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公开09表</w:t>
            </w:r>
          </w:p>
        </w:tc>
      </w:tr>
      <w:tr>
        <w:tblPrEx>
          <w:tblCellMar>
            <w:top w:w="0" w:type="dxa"/>
            <w:left w:w="108" w:type="dxa"/>
            <w:bottom w:w="0" w:type="dxa"/>
            <w:right w:w="108" w:type="dxa"/>
          </w:tblCellMar>
        </w:tblPrEx>
        <w:trPr>
          <w:trHeight w:val="300" w:hRule="atLeast"/>
        </w:trPr>
        <w:tc>
          <w:tcPr>
            <w:tcW w:w="9996" w:type="dxa"/>
            <w:gridSpan w:val="21"/>
            <w:tcBorders>
              <w:top w:val="nil"/>
              <w:left w:val="nil"/>
              <w:bottom w:val="single" w:color="000000" w:sz="4" w:space="0"/>
            </w:tcBorders>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灵乡镇党群服务中心</w:t>
            </w:r>
            <w:r>
              <w:rPr>
                <w:rFonts w:hint="eastAsia" w:ascii="宋体" w:hAnsi="宋体" w:cs="Arial"/>
                <w:color w:val="000000"/>
                <w:kern w:val="0"/>
                <w:sz w:val="18"/>
                <w:szCs w:val="18"/>
              </w:rPr>
              <w:t>　</w:t>
            </w:r>
            <w:r>
              <w:rPr>
                <w:rFonts w:hint="eastAsia" w:ascii="宋体" w:hAnsi="宋体" w:cs="Arial"/>
                <w:color w:val="000000"/>
                <w:kern w:val="0"/>
                <w:sz w:val="22"/>
              </w:rPr>
              <w:t xml:space="preserve">                                            金额单位：万元</w:t>
            </w:r>
          </w:p>
        </w:tc>
      </w:tr>
      <w:tr>
        <w:tblPrEx>
          <w:tblCellMar>
            <w:top w:w="0" w:type="dxa"/>
            <w:left w:w="108" w:type="dxa"/>
            <w:bottom w:w="0" w:type="dxa"/>
            <w:right w:w="108" w:type="dxa"/>
          </w:tblCellMar>
        </w:tblPrEx>
        <w:trPr>
          <w:trHeight w:val="300" w:hRule="atLeast"/>
        </w:trPr>
        <w:tc>
          <w:tcPr>
            <w:tcW w:w="4820" w:type="dxa"/>
            <w:gridSpan w:val="10"/>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c>
          <w:tcPr>
            <w:tcW w:w="5176" w:type="dxa"/>
            <w:gridSpan w:val="11"/>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决算数</w:t>
            </w:r>
          </w:p>
        </w:tc>
      </w:tr>
      <w:tr>
        <w:tblPrEx>
          <w:tblCellMar>
            <w:top w:w="0" w:type="dxa"/>
            <w:left w:w="108" w:type="dxa"/>
            <w:bottom w:w="0" w:type="dxa"/>
            <w:right w:w="108" w:type="dxa"/>
          </w:tblCellMar>
        </w:tblPrEx>
        <w:trPr>
          <w:trHeight w:val="300" w:hRule="atLeast"/>
        </w:trPr>
        <w:tc>
          <w:tcPr>
            <w:tcW w:w="709"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993"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因公出国（境）费</w:t>
            </w:r>
          </w:p>
        </w:tc>
        <w:tc>
          <w:tcPr>
            <w:tcW w:w="2268" w:type="dxa"/>
            <w:gridSpan w:val="7"/>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公务用车购置及运行费</w:t>
            </w:r>
          </w:p>
        </w:tc>
        <w:tc>
          <w:tcPr>
            <w:tcW w:w="85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709"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85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因公出国（境）费</w:t>
            </w:r>
          </w:p>
        </w:tc>
        <w:tc>
          <w:tcPr>
            <w:tcW w:w="2835" w:type="dxa"/>
            <w:gridSpan w:val="8"/>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公务用车购置及运行费</w:t>
            </w:r>
          </w:p>
        </w:tc>
        <w:tc>
          <w:tcPr>
            <w:tcW w:w="782"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公务接待费</w:t>
            </w:r>
          </w:p>
        </w:tc>
      </w:tr>
      <w:tr>
        <w:tblPrEx>
          <w:tblCellMar>
            <w:top w:w="0" w:type="dxa"/>
            <w:left w:w="108" w:type="dxa"/>
            <w:bottom w:w="0" w:type="dxa"/>
            <w:right w:w="108" w:type="dxa"/>
          </w:tblCellMar>
        </w:tblPrEx>
        <w:trPr>
          <w:trHeight w:val="600" w:hRule="atLeast"/>
        </w:trPr>
        <w:tc>
          <w:tcPr>
            <w:tcW w:w="70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c>
          <w:tcPr>
            <w:tcW w:w="99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c>
          <w:tcPr>
            <w:tcW w:w="70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709" w:type="dxa"/>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公务用车购置费</w:t>
            </w:r>
          </w:p>
        </w:tc>
        <w:tc>
          <w:tcPr>
            <w:tcW w:w="851" w:type="dxa"/>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85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c>
          <w:tcPr>
            <w:tcW w:w="709"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c>
          <w:tcPr>
            <w:tcW w:w="85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c>
          <w:tcPr>
            <w:tcW w:w="709"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992" w:type="dxa"/>
            <w:gridSpan w:val="4"/>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公务用车购置费</w:t>
            </w:r>
          </w:p>
        </w:tc>
        <w:tc>
          <w:tcPr>
            <w:tcW w:w="1134"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782"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p>
        </w:tc>
      </w:tr>
      <w:tr>
        <w:tblPrEx>
          <w:tblCellMar>
            <w:top w:w="0" w:type="dxa"/>
            <w:left w:w="108" w:type="dxa"/>
            <w:bottom w:w="0"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993"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708"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709" w:type="dxa"/>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851" w:type="dxa"/>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85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709"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85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709"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992" w:type="dxa"/>
            <w:gridSpan w:val="4"/>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10</w:t>
            </w:r>
          </w:p>
        </w:tc>
        <w:tc>
          <w:tcPr>
            <w:tcW w:w="1134"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11</w:t>
            </w:r>
          </w:p>
        </w:tc>
        <w:tc>
          <w:tcPr>
            <w:tcW w:w="782"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12</w:t>
            </w:r>
          </w:p>
        </w:tc>
      </w:tr>
      <w:tr>
        <w:tblPrEx>
          <w:tblCellMar>
            <w:top w:w="0" w:type="dxa"/>
            <w:left w:w="108" w:type="dxa"/>
            <w:bottom w:w="0"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993"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708"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709" w:type="dxa"/>
            <w:gridSpan w:val="3"/>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851" w:type="dxa"/>
            <w:gridSpan w:val="3"/>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709"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850"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709"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992" w:type="dxa"/>
            <w:gridSpan w:val="4"/>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1134" w:type="dxa"/>
            <w:gridSpan w:val="2"/>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c>
          <w:tcPr>
            <w:tcW w:w="782" w:type="dxa"/>
            <w:tcBorders>
              <w:top w:val="nil"/>
              <w:left w:val="nil"/>
              <w:bottom w:val="single" w:color="000000" w:sz="4" w:space="0"/>
              <w:right w:val="single" w:color="000000" w:sz="4" w:space="0"/>
            </w:tcBorders>
            <w:noWrap/>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449" w:hRule="atLeast"/>
        </w:trPr>
        <w:tc>
          <w:tcPr>
            <w:tcW w:w="9996" w:type="dxa"/>
            <w:gridSpan w:val="21"/>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注：本单位无此项内容，故本表无数据。</w:t>
            </w:r>
          </w:p>
        </w:tc>
      </w:tr>
    </w:tbl>
    <w:p>
      <w:pPr>
        <w:ind w:firstLine="640" w:firstLineChars="200"/>
        <w:rPr>
          <w:rFonts w:hint="eastAsia" w:ascii="宋体" w:hAnsi="宋体"/>
          <w:sz w:val="32"/>
          <w:szCs w:val="32"/>
        </w:rPr>
      </w:pPr>
    </w:p>
    <w:p>
      <w:pPr>
        <w:ind w:firstLine="640" w:firstLineChars="200"/>
        <w:jc w:val="left"/>
        <w:rPr>
          <w:rFonts w:hint="eastAsia" w:ascii="仿宋_GB2312" w:eastAsia="仿宋_GB2312"/>
          <w:b/>
          <w:color w:val="FF0000"/>
          <w:sz w:val="32"/>
          <w:szCs w:val="32"/>
        </w:rPr>
      </w:pPr>
      <w:r>
        <w:rPr>
          <w:rFonts w:hint="eastAsia" w:ascii="黑体" w:hAnsi="黑体" w:eastAsia="黑体" w:cs="黑体"/>
          <w:sz w:val="32"/>
          <w:szCs w:val="32"/>
          <w:u w:val="none"/>
          <w:rtl w:val="0"/>
          <w:lang w:val="en-US" w:eastAsia="zh-CN"/>
        </w:rPr>
        <w:t>第三部分：大冶市灵乡镇党群服务中心2024年度部门决算情况说明</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一、收入支出决算总体情况说明</w:t>
      </w:r>
    </w:p>
    <w:p>
      <w:pPr>
        <w:ind w:firstLine="640" w:firstLineChars="200"/>
        <w:rPr>
          <w:rFonts w:hint="eastAsia" w:ascii="宋体" w:hAnsi="宋体"/>
          <w:sz w:val="28"/>
          <w:szCs w:val="28"/>
          <w:lang w:val="en-US" w:eastAsia="zh-CN"/>
        </w:rPr>
      </w:pPr>
      <w:r>
        <w:rPr>
          <w:rFonts w:hint="eastAsia" w:ascii="仿宋_GB2312" w:hAnsi="宋体" w:eastAsia="仿宋_GB2312" w:cs="Times New Roman"/>
          <w:bCs/>
          <w:sz w:val="32"/>
          <w:szCs w:val="32"/>
          <w:highlight w:val="none"/>
          <w:lang w:val="en-US" w:eastAsia="zh-CN"/>
        </w:rPr>
        <w:t>2024年度收、支总计均为95.96万元，较上年度各增加4.46万元，增长4.9%，主要原因是人员经费增加</w:t>
      </w:r>
      <w:r>
        <w:rPr>
          <w:rFonts w:hint="eastAsia" w:ascii="宋体" w:hAnsi="宋体"/>
          <w:sz w:val="28"/>
          <w:szCs w:val="28"/>
          <w:lang w:val="en-US" w:eastAsia="zh-CN"/>
        </w:rPr>
        <w:t>。</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二、收入决算情况说明</w:t>
      </w:r>
    </w:p>
    <w:p>
      <w:pPr>
        <w:ind w:firstLine="640" w:firstLineChars="200"/>
        <w:rPr>
          <w:rFonts w:hint="eastAsia" w:ascii="宋体" w:hAnsi="宋体"/>
          <w:sz w:val="28"/>
          <w:szCs w:val="28"/>
          <w:lang w:val="en-US" w:eastAsia="zh-CN"/>
        </w:rPr>
      </w:pPr>
      <w:r>
        <w:rPr>
          <w:rFonts w:hint="eastAsia" w:ascii="仿宋_GB2312" w:hAnsi="宋体" w:eastAsia="仿宋_GB2312" w:cs="Times New Roman"/>
          <w:bCs/>
          <w:sz w:val="32"/>
          <w:szCs w:val="32"/>
          <w:highlight w:val="none"/>
          <w:lang w:val="en-US" w:eastAsia="zh-CN"/>
        </w:rPr>
        <w:t>2024年度收入合计95.96万元，较上年度增加4.46万元，增长4.9 %，主要原因是</w:t>
      </w:r>
      <w:r>
        <w:rPr>
          <w:rFonts w:hint="eastAsia" w:ascii="宋体" w:hAnsi="宋体"/>
          <w:sz w:val="28"/>
          <w:szCs w:val="28"/>
          <w:lang w:val="en-US" w:eastAsia="zh-CN"/>
        </w:rPr>
        <w:t>财政拨款收入增加。</w:t>
      </w:r>
    </w:p>
    <w:p>
      <w:pPr>
        <w:ind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其中：财政拨款收入95.96万元，占本年收入100%；上级补助收入0万元，占本年收入0%；事业收入0万元，占本年收入0%；经营收入0万元，占本年收入0%；附属单位上缴收入0万元，占本年收入0%；其他收入0万元，占本年收入0%。</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三、支出决算情况说明</w:t>
      </w:r>
    </w:p>
    <w:p>
      <w:pPr>
        <w:adjustRightInd w:val="0"/>
        <w:snapToGrid w:val="0"/>
        <w:spacing w:line="580" w:lineRule="atLeast"/>
        <w:ind w:firstLine="640" w:firstLineChars="200"/>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lang w:val="en-US" w:eastAsia="zh-CN"/>
        </w:rPr>
        <w:t>2024年度支出合计95.96万元，较上年度增加4.46万元，增长4.9%，主要原因是人员经费增加。</w:t>
      </w:r>
    </w:p>
    <w:p>
      <w:pPr>
        <w:adjustRightInd w:val="0"/>
        <w:snapToGrid w:val="0"/>
        <w:spacing w:line="580" w:lineRule="atLeast"/>
        <w:ind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其中：基本支出94.87万元，占本年支出98.9 %；项目支出1.09万元，占本年支出1.1%；上缴上级支出0万元，占本年支出0%；经营支出0万元，占本年支出0%；对附属单位补助支出0万元，占本年支出0%。</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四、财政拨款收入支出决算总体情况说明</w:t>
      </w:r>
    </w:p>
    <w:p>
      <w:pPr>
        <w:ind w:firstLine="640" w:firstLineChars="200"/>
        <w:rPr>
          <w:rFonts w:hint="eastAsia"/>
        </w:rPr>
      </w:pPr>
      <w:r>
        <w:rPr>
          <w:rFonts w:hint="eastAsia" w:ascii="仿宋_GB2312" w:hAnsi="宋体" w:eastAsia="仿宋_GB2312" w:cs="Times New Roman"/>
          <w:bCs/>
          <w:sz w:val="32"/>
          <w:szCs w:val="32"/>
          <w:highlight w:val="none"/>
          <w:lang w:val="en-US" w:eastAsia="zh-CN"/>
        </w:rPr>
        <w:t>2024年度财政拨款收、支总计均为95.96万元，较上年度各增加4.46万元，增长4.9%，主要原因是人员经费增加。</w:t>
      </w:r>
    </w:p>
    <w:p>
      <w:pPr>
        <w:ind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2024年度财政拨款收入中，一般公共预算财政拨款收入95.96万元，较上年度增加4.46万元，增长4.9%，主要原因是人员经费增加。政府性基金预算财政拨款收入0万元，较上年度增加0万元，增长0，主要原因是无此项收入。国有资本经营预算财政拨款收入0万元，较上年度增加0万元，增长0%，主要原因是无此项收入。</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五、一般公共预算财政拨款支出决算情况说明</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（一）一般公共预算财政拨款支出决算总体情况</w:t>
      </w:r>
    </w:p>
    <w:p>
      <w:pPr>
        <w:ind w:firstLine="640" w:firstLineChars="200"/>
        <w:rPr>
          <w:rFonts w:hint="eastAsia" w:ascii="宋体" w:hAnsi="宋体"/>
          <w:sz w:val="28"/>
          <w:szCs w:val="28"/>
        </w:rPr>
      </w:pPr>
      <w:r>
        <w:rPr>
          <w:rFonts w:hint="eastAsia" w:ascii="仿宋_GB2312" w:hAnsi="Times New Roman" w:eastAsia="仿宋_GB2312" w:cs="Times New Roman"/>
          <w:bCs/>
          <w:kern w:val="44"/>
          <w:sz w:val="32"/>
          <w:szCs w:val="32"/>
          <w:highlight w:val="none"/>
          <w:lang w:eastAsia="zh-CN"/>
        </w:rPr>
        <w:t>2024年度一般公共预算财政拨款支出</w:t>
      </w:r>
      <w:r>
        <w:rPr>
          <w:rFonts w:hint="eastAsia" w:ascii="仿宋_GB2312" w:hAnsi="Times New Roman" w:eastAsia="仿宋_GB2312" w:cs="Times New Roman"/>
          <w:bCs/>
          <w:kern w:val="44"/>
          <w:sz w:val="32"/>
          <w:szCs w:val="32"/>
          <w:highlight w:val="none"/>
          <w:lang w:val="en-US" w:eastAsia="zh-CN"/>
        </w:rPr>
        <w:t>95.96</w:t>
      </w:r>
      <w:r>
        <w:rPr>
          <w:rFonts w:hint="eastAsia" w:ascii="仿宋_GB2312" w:hAnsi="Times New Roman" w:eastAsia="仿宋_GB2312" w:cs="Times New Roman"/>
          <w:bCs/>
          <w:kern w:val="44"/>
          <w:sz w:val="32"/>
          <w:szCs w:val="32"/>
          <w:highlight w:val="none"/>
          <w:lang w:eastAsia="zh-CN"/>
        </w:rPr>
        <w:t>万元，占本年支出合计的</w:t>
      </w:r>
      <w:r>
        <w:rPr>
          <w:rFonts w:hint="eastAsia" w:ascii="仿宋_GB2312" w:hAnsi="Times New Roman" w:eastAsia="仿宋_GB2312" w:cs="Times New Roman"/>
          <w:bCs/>
          <w:kern w:val="44"/>
          <w:sz w:val="32"/>
          <w:szCs w:val="32"/>
          <w:highlight w:val="none"/>
          <w:lang w:val="en-US" w:eastAsia="zh-CN"/>
        </w:rPr>
        <w:t>100</w:t>
      </w:r>
      <w:r>
        <w:rPr>
          <w:rFonts w:hint="eastAsia" w:ascii="仿宋_GB2312" w:hAnsi="Times New Roman" w:eastAsia="仿宋_GB2312" w:cs="Times New Roman"/>
          <w:bCs/>
          <w:kern w:val="44"/>
          <w:sz w:val="32"/>
          <w:szCs w:val="32"/>
          <w:highlight w:val="none"/>
          <w:lang w:eastAsia="zh-CN"/>
        </w:rPr>
        <w:t>%，较上年度增加</w:t>
      </w:r>
      <w:r>
        <w:rPr>
          <w:rFonts w:hint="eastAsia" w:ascii="仿宋_GB2312" w:hAnsi="Times New Roman" w:eastAsia="仿宋_GB2312" w:cs="Times New Roman"/>
          <w:bCs/>
          <w:kern w:val="44"/>
          <w:sz w:val="32"/>
          <w:szCs w:val="32"/>
          <w:highlight w:val="none"/>
          <w:lang w:val="en-US" w:eastAsia="zh-CN"/>
        </w:rPr>
        <w:t>4.46</w:t>
      </w:r>
      <w:r>
        <w:rPr>
          <w:rFonts w:hint="eastAsia" w:ascii="仿宋_GB2312" w:hAnsi="Times New Roman" w:eastAsia="仿宋_GB2312" w:cs="Times New Roman"/>
          <w:bCs/>
          <w:kern w:val="44"/>
          <w:sz w:val="32"/>
          <w:szCs w:val="32"/>
          <w:highlight w:val="none"/>
          <w:lang w:eastAsia="zh-CN"/>
        </w:rPr>
        <w:t>万元，增长</w:t>
      </w:r>
      <w:r>
        <w:rPr>
          <w:rFonts w:hint="eastAsia" w:ascii="仿宋_GB2312" w:hAnsi="Times New Roman" w:eastAsia="仿宋_GB2312" w:cs="Times New Roman"/>
          <w:bCs/>
          <w:kern w:val="44"/>
          <w:sz w:val="32"/>
          <w:szCs w:val="32"/>
          <w:highlight w:val="none"/>
          <w:lang w:val="en-US" w:eastAsia="zh-CN"/>
        </w:rPr>
        <w:t>0</w:t>
      </w:r>
      <w:r>
        <w:rPr>
          <w:rFonts w:hint="eastAsia" w:ascii="仿宋_GB2312" w:hAnsi="Times New Roman" w:eastAsia="仿宋_GB2312" w:cs="Times New Roman"/>
          <w:bCs/>
          <w:kern w:val="44"/>
          <w:sz w:val="32"/>
          <w:szCs w:val="32"/>
          <w:highlight w:val="none"/>
          <w:lang w:eastAsia="zh-CN"/>
        </w:rPr>
        <w:t xml:space="preserve"> %，主要原因是</w:t>
      </w:r>
      <w:r>
        <w:rPr>
          <w:rFonts w:hint="eastAsia" w:ascii="仿宋_GB2312" w:hAnsi="宋体" w:eastAsia="仿宋_GB2312" w:cs="Times New Roman"/>
          <w:bCs/>
          <w:sz w:val="32"/>
          <w:szCs w:val="32"/>
          <w:highlight w:val="none"/>
          <w:lang w:val="en-US" w:eastAsia="zh-CN"/>
        </w:rPr>
        <w:t>人员经费增加</w:t>
      </w:r>
      <w:r>
        <w:rPr>
          <w:rFonts w:hint="eastAsia" w:ascii="仿宋_GB2312" w:hAnsi="Times New Roman" w:eastAsia="仿宋_GB2312" w:cs="Times New Roman"/>
          <w:bCs/>
          <w:kern w:val="44"/>
          <w:sz w:val="32"/>
          <w:szCs w:val="32"/>
          <w:highlight w:val="none"/>
          <w:lang w:eastAsia="zh-CN"/>
        </w:rPr>
        <w:t>。</w:t>
      </w:r>
    </w:p>
    <w:p>
      <w:pPr>
        <w:adjustRightInd w:val="0"/>
        <w:snapToGrid w:val="0"/>
        <w:spacing w:line="360" w:lineRule="auto"/>
        <w:ind w:firstLine="640" w:firstLineChars="200"/>
        <w:rPr>
          <w:rFonts w:hint="eastAsia" w:ascii="宋体" w:hAnsi="宋体" w:cs="楷体_GB2312"/>
          <w:bCs/>
          <w:kern w:val="44"/>
          <w:sz w:val="28"/>
          <w:szCs w:val="28"/>
        </w:rPr>
      </w:pPr>
      <w:r>
        <w:rPr>
          <w:rFonts w:hint="eastAsia" w:ascii="楷体_GB2312" w:hAnsi="楷体_GB2312" w:eastAsia="楷体_GB2312" w:cs="楷体_GB2312"/>
          <w:bCs/>
          <w:kern w:val="44"/>
          <w:sz w:val="32"/>
          <w:szCs w:val="32"/>
          <w:highlight w:val="none"/>
        </w:rPr>
        <w:t>（二）一般公共预算财政拨款支出决算结构情况</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2024年度一般公共预算财政拨款支出</w:t>
      </w:r>
      <w:r>
        <w:rPr>
          <w:rFonts w:hint="eastAsia" w:ascii="仿宋_GB2312" w:hAnsi="Times New Roman" w:eastAsia="仿宋_GB2312" w:cs="Times New Roman"/>
          <w:bCs/>
          <w:kern w:val="44"/>
          <w:sz w:val="32"/>
          <w:szCs w:val="32"/>
          <w:highlight w:val="none"/>
          <w:lang w:val="en-US" w:eastAsia="zh-CN"/>
        </w:rPr>
        <w:t>95.96</w:t>
      </w:r>
      <w:r>
        <w:rPr>
          <w:rFonts w:hint="eastAsia" w:ascii="仿宋_GB2312" w:hAnsi="Times New Roman" w:eastAsia="仿宋_GB2312" w:cs="Times New Roman"/>
          <w:bCs/>
          <w:kern w:val="44"/>
          <w:sz w:val="32"/>
          <w:szCs w:val="32"/>
          <w:highlight w:val="none"/>
          <w:lang w:eastAsia="zh-CN"/>
        </w:rPr>
        <w:t>万元，主要用于以下方面：</w:t>
      </w:r>
    </w:p>
    <w:p>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宋体" w:hAnsi="宋体"/>
          <w:sz w:val="28"/>
          <w:szCs w:val="28"/>
        </w:rPr>
      </w:pPr>
      <w:r>
        <w:rPr>
          <w:rFonts w:hint="eastAsia" w:ascii="仿宋_GB2312" w:hAnsi="Times New Roman" w:eastAsia="仿宋_GB2312" w:cs="Times New Roman"/>
          <w:bCs/>
          <w:kern w:val="44"/>
          <w:sz w:val="32"/>
          <w:szCs w:val="32"/>
          <w:highlight w:val="none"/>
          <w:lang w:eastAsia="zh-CN"/>
        </w:rPr>
        <w:t>一般公共服务支出（类）</w:t>
      </w:r>
      <w:r>
        <w:rPr>
          <w:rFonts w:hint="eastAsia" w:ascii="仿宋_GB2312" w:hAnsi="Times New Roman" w:eastAsia="仿宋_GB2312" w:cs="Times New Roman"/>
          <w:bCs/>
          <w:kern w:val="44"/>
          <w:sz w:val="32"/>
          <w:szCs w:val="32"/>
          <w:highlight w:val="none"/>
          <w:lang w:val="en-US" w:eastAsia="zh-CN"/>
        </w:rPr>
        <w:t>95.96</w:t>
      </w:r>
      <w:r>
        <w:rPr>
          <w:rFonts w:hint="eastAsia" w:ascii="仿宋_GB2312" w:hAnsi="Times New Roman" w:eastAsia="仿宋_GB2312" w:cs="Times New Roman"/>
          <w:bCs/>
          <w:kern w:val="44"/>
          <w:sz w:val="32"/>
          <w:szCs w:val="32"/>
          <w:highlight w:val="none"/>
          <w:lang w:eastAsia="zh-CN"/>
        </w:rPr>
        <w:t>万元，占</w:t>
      </w:r>
      <w:r>
        <w:rPr>
          <w:rFonts w:hint="eastAsia" w:ascii="仿宋_GB2312" w:hAnsi="Times New Roman" w:eastAsia="仿宋_GB2312" w:cs="Times New Roman"/>
          <w:bCs/>
          <w:kern w:val="44"/>
          <w:sz w:val="32"/>
          <w:szCs w:val="32"/>
          <w:highlight w:val="none"/>
          <w:lang w:val="en-US" w:eastAsia="zh-CN"/>
        </w:rPr>
        <w:t>100</w:t>
      </w:r>
      <w:r>
        <w:rPr>
          <w:rFonts w:hint="eastAsia" w:ascii="仿宋_GB2312" w:hAnsi="Times New Roman" w:eastAsia="仿宋_GB2312" w:cs="Times New Roman"/>
          <w:bCs/>
          <w:kern w:val="44"/>
          <w:sz w:val="32"/>
          <w:szCs w:val="32"/>
          <w:highlight w:val="none"/>
          <w:lang w:eastAsia="zh-CN"/>
        </w:rPr>
        <w:t>%，主要用于</w:t>
      </w:r>
      <w:r>
        <w:rPr>
          <w:rFonts w:hint="eastAsia" w:ascii="宋体" w:hAnsi="宋体"/>
          <w:sz w:val="28"/>
          <w:szCs w:val="28"/>
          <w:lang w:val="en-US" w:eastAsia="zh-CN"/>
        </w:rPr>
        <w:t>其他政府办公厅（室）及相关机构事务支出95.96万元</w:t>
      </w:r>
      <w:r>
        <w:rPr>
          <w:rFonts w:hint="eastAsia" w:ascii="仿宋_GB2312" w:hAnsi="Times New Roman" w:eastAsia="仿宋_GB2312" w:cs="Times New Roman"/>
          <w:bCs/>
          <w:kern w:val="44"/>
          <w:sz w:val="32"/>
          <w:szCs w:val="32"/>
          <w:highlight w:val="none"/>
          <w:lang w:eastAsia="zh-CN"/>
        </w:rPr>
        <w:t>。</w:t>
      </w:r>
    </w:p>
    <w:p>
      <w:pPr>
        <w:adjustRightInd w:val="0"/>
        <w:snapToGrid w:val="0"/>
        <w:spacing w:line="360" w:lineRule="auto"/>
        <w:ind w:firstLine="640" w:firstLineChars="200"/>
        <w:rPr>
          <w:rFonts w:hint="eastAsia" w:ascii="宋体" w:hAnsi="宋体" w:cs="楷体_GB2312"/>
          <w:bCs/>
          <w:kern w:val="44"/>
          <w:sz w:val="28"/>
          <w:szCs w:val="28"/>
          <w:highlight w:val="none"/>
        </w:rPr>
      </w:pPr>
      <w:r>
        <w:rPr>
          <w:rFonts w:hint="eastAsia" w:ascii="楷体_GB2312" w:hAnsi="楷体_GB2312" w:eastAsia="楷体_GB2312" w:cs="楷体_GB2312"/>
          <w:bCs/>
          <w:kern w:val="44"/>
          <w:sz w:val="32"/>
          <w:szCs w:val="32"/>
          <w:highlight w:val="none"/>
        </w:rPr>
        <w:t>（三）一般公共预算财政拨款支出决算具体情况</w:t>
      </w:r>
    </w:p>
    <w:p>
      <w:pPr>
        <w:adjustRightInd w:val="0"/>
        <w:snapToGrid w:val="0"/>
        <w:spacing w:line="360" w:lineRule="auto"/>
        <w:ind w:firstLine="640" w:firstLineChars="200"/>
        <w:rPr>
          <w:rFonts w:hint="eastAsia" w:ascii="宋体" w:hAnsi="宋体"/>
          <w:sz w:val="28"/>
          <w:szCs w:val="28"/>
          <w:highlight w:val="none"/>
        </w:rPr>
      </w:pPr>
      <w:r>
        <w:rPr>
          <w:rFonts w:hint="eastAsia" w:ascii="仿宋_GB2312" w:hAnsi="Times New Roman" w:eastAsia="仿宋_GB2312" w:cs="Times New Roman"/>
          <w:bCs/>
          <w:kern w:val="44"/>
          <w:sz w:val="32"/>
          <w:szCs w:val="32"/>
          <w:highlight w:val="none"/>
          <w:lang w:eastAsia="zh-CN"/>
        </w:rPr>
        <w:t>2024年度</w:t>
      </w:r>
      <w:r>
        <w:rPr>
          <w:rFonts w:hint="eastAsia" w:ascii="宋体" w:hAnsi="宋体"/>
          <w:sz w:val="28"/>
          <w:szCs w:val="28"/>
          <w:highlight w:val="none"/>
        </w:rPr>
        <w:t>一般公共预算财政拨款支出年初预算为</w:t>
      </w:r>
      <w:r>
        <w:rPr>
          <w:rFonts w:hint="eastAsia" w:ascii="宋体" w:hAnsi="宋体"/>
          <w:sz w:val="28"/>
          <w:szCs w:val="28"/>
          <w:highlight w:val="none"/>
          <w:lang w:val="en-US" w:eastAsia="zh-CN"/>
        </w:rPr>
        <w:t>106.19</w:t>
      </w:r>
      <w:r>
        <w:rPr>
          <w:rFonts w:hint="eastAsia" w:ascii="宋体" w:hAnsi="宋体"/>
          <w:sz w:val="28"/>
          <w:szCs w:val="28"/>
          <w:highlight w:val="none"/>
        </w:rPr>
        <w:t>万元，支出决算</w:t>
      </w:r>
      <w:r>
        <w:rPr>
          <w:rFonts w:hint="eastAsia" w:ascii="宋体" w:hAnsi="宋体"/>
          <w:sz w:val="28"/>
          <w:szCs w:val="28"/>
          <w:highlight w:val="none"/>
          <w:lang w:val="en-US" w:eastAsia="zh-CN"/>
        </w:rPr>
        <w:t>为95.96</w:t>
      </w:r>
      <w:r>
        <w:rPr>
          <w:rFonts w:hint="eastAsia" w:ascii="宋体" w:hAnsi="宋体"/>
          <w:sz w:val="28"/>
          <w:szCs w:val="28"/>
          <w:highlight w:val="none"/>
        </w:rPr>
        <w:t>万元，完成年初预算的</w:t>
      </w:r>
      <w:r>
        <w:rPr>
          <w:rFonts w:hint="eastAsia" w:ascii="宋体" w:hAnsi="宋体"/>
          <w:sz w:val="28"/>
          <w:szCs w:val="28"/>
          <w:highlight w:val="none"/>
          <w:lang w:val="en-US" w:eastAsia="zh-CN"/>
        </w:rPr>
        <w:t>90.4</w:t>
      </w:r>
      <w:r>
        <w:rPr>
          <w:rFonts w:hint="eastAsia" w:ascii="宋体" w:hAnsi="宋体"/>
          <w:sz w:val="28"/>
          <w:szCs w:val="28"/>
          <w:highlight w:val="none"/>
        </w:rPr>
        <w:t>%。其中：</w:t>
      </w:r>
      <w:bookmarkStart w:id="0" w:name="_GoBack"/>
      <w:bookmarkEnd w:id="0"/>
    </w:p>
    <w:p>
      <w:pPr>
        <w:adjustRightInd w:val="0"/>
        <w:snapToGrid w:val="0"/>
        <w:spacing w:line="360" w:lineRule="auto"/>
        <w:ind w:firstLine="560" w:firstLineChars="200"/>
        <w:rPr>
          <w:rFonts w:hint="default" w:ascii="宋体" w:hAnsi="宋体" w:eastAsia="宋体"/>
          <w:sz w:val="28"/>
          <w:szCs w:val="28"/>
          <w:highlight w:val="none"/>
          <w:lang w:val="en-US" w:eastAsia="zh-CN"/>
        </w:rPr>
      </w:pPr>
      <w:r>
        <w:rPr>
          <w:rFonts w:hint="eastAsia" w:ascii="宋体" w:hAnsi="宋体"/>
          <w:sz w:val="28"/>
          <w:szCs w:val="28"/>
          <w:highlight w:val="none"/>
        </w:rPr>
        <w:t xml:space="preserve"> 一般公共服务支出(类)。年初预算为</w:t>
      </w:r>
      <w:r>
        <w:rPr>
          <w:rFonts w:hint="eastAsia" w:ascii="宋体" w:hAnsi="宋体"/>
          <w:sz w:val="28"/>
          <w:szCs w:val="28"/>
          <w:highlight w:val="none"/>
          <w:lang w:val="en-US" w:eastAsia="zh-CN"/>
        </w:rPr>
        <w:t>106.19</w:t>
      </w:r>
      <w:r>
        <w:rPr>
          <w:rFonts w:hint="eastAsia" w:ascii="宋体" w:hAnsi="宋体"/>
          <w:sz w:val="28"/>
          <w:szCs w:val="28"/>
          <w:highlight w:val="none"/>
        </w:rPr>
        <w:t>万元，支出决算为</w:t>
      </w:r>
      <w:r>
        <w:rPr>
          <w:rFonts w:hint="eastAsia" w:ascii="宋体" w:hAnsi="宋体"/>
          <w:sz w:val="28"/>
          <w:szCs w:val="28"/>
          <w:highlight w:val="none"/>
          <w:lang w:val="en-US" w:eastAsia="zh-CN"/>
        </w:rPr>
        <w:t>95.96</w:t>
      </w:r>
      <w:r>
        <w:rPr>
          <w:rFonts w:hint="eastAsia" w:ascii="宋体" w:hAnsi="宋体"/>
          <w:sz w:val="28"/>
          <w:szCs w:val="28"/>
          <w:highlight w:val="none"/>
        </w:rPr>
        <w:t>万元，完成年初预算的</w:t>
      </w:r>
      <w:r>
        <w:rPr>
          <w:rFonts w:hint="eastAsia" w:ascii="宋体" w:hAnsi="宋体"/>
          <w:sz w:val="28"/>
          <w:szCs w:val="28"/>
          <w:highlight w:val="none"/>
          <w:lang w:val="en-US" w:eastAsia="zh-CN"/>
        </w:rPr>
        <w:t>90.4</w:t>
      </w:r>
      <w:r>
        <w:rPr>
          <w:rFonts w:hint="eastAsia" w:ascii="宋体" w:hAnsi="宋体"/>
          <w:sz w:val="28"/>
          <w:szCs w:val="28"/>
          <w:highlight w:val="none"/>
        </w:rPr>
        <w:t>%，支出决算数</w:t>
      </w:r>
      <w:r>
        <w:rPr>
          <w:rFonts w:hint="eastAsia" w:ascii="宋体" w:hAnsi="宋体"/>
          <w:sz w:val="28"/>
          <w:szCs w:val="28"/>
          <w:highlight w:val="none"/>
          <w:lang w:val="en-US" w:eastAsia="zh-CN"/>
        </w:rPr>
        <w:t>小于</w:t>
      </w:r>
      <w:r>
        <w:rPr>
          <w:rFonts w:hint="eastAsia" w:ascii="宋体" w:hAnsi="宋体"/>
          <w:sz w:val="28"/>
          <w:szCs w:val="28"/>
          <w:highlight w:val="none"/>
        </w:rPr>
        <w:t>年初预算数的主要原因是</w:t>
      </w:r>
      <w:r>
        <w:rPr>
          <w:rFonts w:hint="eastAsia" w:ascii="宋体" w:hAnsi="宋体"/>
          <w:sz w:val="28"/>
          <w:szCs w:val="28"/>
          <w:highlight w:val="none"/>
          <w:lang w:val="en-US" w:eastAsia="zh-CN"/>
        </w:rPr>
        <w:t>机关运行经费减少</w:t>
      </w:r>
      <w:r>
        <w:rPr>
          <w:rFonts w:hint="eastAsia" w:ascii="宋体" w:hAnsi="宋体"/>
          <w:sz w:val="28"/>
          <w:szCs w:val="28"/>
          <w:highlight w:val="none"/>
        </w:rPr>
        <w:t>。</w:t>
      </w:r>
      <w:r>
        <w:rPr>
          <w:rFonts w:hint="eastAsia" w:ascii="宋体" w:hAnsi="宋体"/>
          <w:sz w:val="28"/>
          <w:szCs w:val="28"/>
          <w:highlight w:val="none"/>
          <w:lang w:val="en-US" w:eastAsia="zh-CN"/>
        </w:rPr>
        <w:t>其中，政府办公厅（室）及相关机构事务（款）其他政府办公厅（室）及相关机构事务支出（项）</w:t>
      </w:r>
      <w:r>
        <w:rPr>
          <w:rFonts w:hint="eastAsia" w:ascii="宋体" w:hAnsi="宋体"/>
          <w:sz w:val="28"/>
          <w:szCs w:val="28"/>
          <w:highlight w:val="none"/>
        </w:rPr>
        <w:t>年初预算为</w:t>
      </w:r>
      <w:r>
        <w:rPr>
          <w:rFonts w:hint="eastAsia" w:ascii="宋体" w:hAnsi="宋体"/>
          <w:sz w:val="28"/>
          <w:szCs w:val="28"/>
          <w:highlight w:val="none"/>
          <w:lang w:val="en-US" w:eastAsia="zh-CN"/>
        </w:rPr>
        <w:t>106.19</w:t>
      </w:r>
      <w:r>
        <w:rPr>
          <w:rFonts w:hint="eastAsia" w:ascii="宋体" w:hAnsi="宋体"/>
          <w:sz w:val="28"/>
          <w:szCs w:val="28"/>
          <w:highlight w:val="none"/>
        </w:rPr>
        <w:t>万元，支出决算为</w:t>
      </w:r>
      <w:r>
        <w:rPr>
          <w:rFonts w:hint="eastAsia" w:ascii="宋体" w:hAnsi="宋体"/>
          <w:sz w:val="28"/>
          <w:szCs w:val="28"/>
          <w:highlight w:val="none"/>
          <w:lang w:val="en-US" w:eastAsia="zh-CN"/>
        </w:rPr>
        <w:t>95.96</w:t>
      </w:r>
      <w:r>
        <w:rPr>
          <w:rFonts w:hint="eastAsia" w:ascii="宋体" w:hAnsi="宋体"/>
          <w:sz w:val="28"/>
          <w:szCs w:val="28"/>
          <w:highlight w:val="none"/>
        </w:rPr>
        <w:t>万元，完成年初预算的</w:t>
      </w:r>
      <w:r>
        <w:rPr>
          <w:rFonts w:hint="eastAsia" w:ascii="宋体" w:hAnsi="宋体"/>
          <w:sz w:val="28"/>
          <w:szCs w:val="28"/>
          <w:highlight w:val="none"/>
          <w:lang w:val="en-US" w:eastAsia="zh-CN"/>
        </w:rPr>
        <w:t>90.4</w:t>
      </w:r>
      <w:r>
        <w:rPr>
          <w:rFonts w:hint="eastAsia" w:ascii="宋体" w:hAnsi="宋体"/>
          <w:sz w:val="28"/>
          <w:szCs w:val="28"/>
          <w:highlight w:val="none"/>
        </w:rPr>
        <w:t>%，支出决算数</w:t>
      </w:r>
      <w:r>
        <w:rPr>
          <w:rFonts w:hint="eastAsia" w:ascii="宋体" w:hAnsi="宋体"/>
          <w:sz w:val="28"/>
          <w:szCs w:val="28"/>
          <w:highlight w:val="none"/>
          <w:lang w:val="en-US" w:eastAsia="zh-CN"/>
        </w:rPr>
        <w:t>小于</w:t>
      </w:r>
      <w:r>
        <w:rPr>
          <w:rFonts w:hint="eastAsia" w:ascii="宋体" w:hAnsi="宋体"/>
          <w:sz w:val="28"/>
          <w:szCs w:val="28"/>
          <w:highlight w:val="none"/>
        </w:rPr>
        <w:t>年初预算数的主要原因是</w:t>
      </w:r>
      <w:r>
        <w:rPr>
          <w:rFonts w:hint="eastAsia" w:ascii="宋体" w:hAnsi="宋体"/>
          <w:sz w:val="28"/>
          <w:szCs w:val="28"/>
          <w:highlight w:val="none"/>
          <w:lang w:val="en-US" w:eastAsia="zh-CN"/>
        </w:rPr>
        <w:t>机关运行经费减少</w:t>
      </w:r>
      <w:r>
        <w:rPr>
          <w:rFonts w:hint="eastAsia" w:ascii="宋体" w:hAnsi="宋体"/>
          <w:sz w:val="28"/>
          <w:szCs w:val="28"/>
          <w:highlight w:val="none"/>
        </w:rPr>
        <w:t>。</w:t>
      </w:r>
    </w:p>
    <w:p>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六、一般公共预算财政拨款基本支出决算情况说明</w:t>
      </w:r>
    </w:p>
    <w:p>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2024年度一般公共预算财政拨款基本支出为95.96万元，具体支出如下：</w:t>
      </w:r>
    </w:p>
    <w:p>
      <w:pPr>
        <w:bidi w:val="0"/>
        <w:ind w:firstLine="640" w:firstLineChars="200"/>
        <w:rPr>
          <w:rFonts w:hint="eastAsia" w:ascii="宋体" w:hAnsi="宋体"/>
          <w:sz w:val="28"/>
          <w:szCs w:val="28"/>
        </w:rPr>
      </w:pPr>
      <w:r>
        <w:rPr>
          <w:rFonts w:hint="eastAsia" w:ascii="仿宋_GB2312" w:hAnsi="仿宋_GB2312" w:eastAsia="仿宋_GB2312" w:cs="仿宋_GB2312"/>
          <w:sz w:val="32"/>
          <w:lang w:val="en-US" w:eastAsia="zh-CN"/>
        </w:rPr>
        <w:t>人员经费89.32万元，主要包括：基本工资20.83万元、津贴补贴6.73万元、奖金26.02万元、绩效工资10.98万元、机关事业单位基本养老保险缴费7.82万元、职工基本医疗保险缴费5.12万元、公务员医疗补助缴费3.2万元、其他社会保障缴费0.93万元、住房公积金7.69万元。</w:t>
      </w:r>
      <w:r>
        <w:rPr>
          <w:rFonts w:hint="eastAsia" w:ascii="宋体" w:hAnsi="宋体"/>
          <w:sz w:val="28"/>
          <w:szCs w:val="28"/>
        </w:rPr>
        <w:t xml:space="preserve"> </w:t>
      </w:r>
    </w:p>
    <w:p>
      <w:pPr>
        <w:pStyle w:val="6"/>
        <w:ind w:firstLine="640" w:firstLineChars="200"/>
        <w:rPr>
          <w:rFonts w:hint="eastAsia" w:ascii="宋体" w:hAnsi="宋体"/>
          <w:sz w:val="28"/>
          <w:szCs w:val="28"/>
        </w:rPr>
      </w:pPr>
      <w:r>
        <w:rPr>
          <w:rFonts w:hint="eastAsia" w:ascii="仿宋_GB2312" w:hAnsi="仿宋_GB2312" w:eastAsia="仿宋_GB2312" w:cs="仿宋_GB2312"/>
          <w:kern w:val="2"/>
          <w:sz w:val="32"/>
          <w:szCs w:val="22"/>
          <w:lang w:val="en-US" w:eastAsia="zh-CN" w:bidi="ar-SA"/>
        </w:rPr>
        <w:t>公用经费5.54万元，主要包括：办公费0.92万元、印刷费0.53万元、水费0.4万元、电费1.42万元、物业管理费0.11万元、差旅费0.17万元、维修(护)费0.05万元、工会经费1.28万元、其他商品和服务支出0.66万元。</w:t>
      </w:r>
    </w:p>
    <w:p>
      <w:pPr>
        <w:ind w:firstLine="560" w:firstLineChars="200"/>
        <w:rPr>
          <w:rFonts w:hint="eastAsia" w:ascii="宋体" w:hAnsi="宋体"/>
          <w:sz w:val="28"/>
          <w:szCs w:val="28"/>
        </w:rPr>
      </w:pPr>
      <w:r>
        <w:rPr>
          <w:rFonts w:hint="eastAsia" w:ascii="宋体" w:hAnsi="宋体"/>
          <w:sz w:val="28"/>
          <w:szCs w:val="28"/>
        </w:rPr>
        <w:t>七、政府性基金预算财政拨款收入支出决算情况说明</w:t>
      </w:r>
    </w:p>
    <w:p>
      <w:pPr>
        <w:ind w:firstLine="640"/>
        <w:rPr>
          <w:rFonts w:hint="eastAsia" w:ascii="宋体" w:hAnsi="宋体" w:eastAsia="宋体"/>
          <w:bCs/>
          <w:sz w:val="28"/>
          <w:szCs w:val="28"/>
          <w:lang w:eastAsia="zh-CN"/>
        </w:rPr>
      </w:pPr>
      <w:r>
        <w:rPr>
          <w:rFonts w:hint="eastAsia" w:ascii="宋体" w:hAnsi="宋体" w:eastAsia="宋体" w:cs="Times New Roman"/>
          <w:sz w:val="28"/>
          <w:szCs w:val="28"/>
        </w:rPr>
        <w:t>本单位当年无政府性基金预算财政拨款收入支出</w:t>
      </w:r>
      <w:r>
        <w:rPr>
          <w:rFonts w:hint="eastAsia" w:ascii="宋体" w:hAnsi="宋体" w:eastAsia="宋体" w:cs="Times New Roman"/>
          <w:sz w:val="28"/>
          <w:szCs w:val="28"/>
          <w:lang w:eastAsia="zh-CN"/>
        </w:rPr>
        <w:t>。</w:t>
      </w:r>
    </w:p>
    <w:p>
      <w:pPr>
        <w:ind w:firstLine="560" w:firstLineChars="200"/>
        <w:rPr>
          <w:rFonts w:hint="eastAsia" w:ascii="宋体" w:hAnsi="宋体"/>
          <w:sz w:val="28"/>
          <w:szCs w:val="28"/>
        </w:rPr>
      </w:pPr>
      <w:r>
        <w:rPr>
          <w:rFonts w:hint="eastAsia" w:ascii="宋体" w:hAnsi="宋体"/>
          <w:sz w:val="28"/>
          <w:szCs w:val="28"/>
        </w:rPr>
        <w:t>八、国有资本经营预算财政拨款支出决算情况说明</w:t>
      </w:r>
    </w:p>
    <w:p>
      <w:pPr>
        <w:ind w:firstLine="640"/>
        <w:rPr>
          <w:rFonts w:hint="eastAsia" w:ascii="宋体" w:hAnsi="宋体"/>
          <w:color w:val="FF0000"/>
          <w:sz w:val="28"/>
          <w:szCs w:val="28"/>
        </w:rPr>
      </w:pPr>
      <w:r>
        <w:rPr>
          <w:rFonts w:hint="eastAsia" w:ascii="宋体" w:hAnsi="宋体" w:eastAsia="宋体" w:cs="Times New Roman"/>
          <w:sz w:val="28"/>
          <w:szCs w:val="28"/>
        </w:rPr>
        <w:t>本单位当年无政府性基金预算财政拨款收入支出</w:t>
      </w:r>
      <w:r>
        <w:rPr>
          <w:rFonts w:hint="eastAsia" w:ascii="宋体" w:hAnsi="宋体" w:eastAsia="宋体" w:cs="Times New Roman"/>
          <w:sz w:val="28"/>
          <w:szCs w:val="28"/>
          <w:lang w:eastAsia="zh-CN"/>
        </w:rPr>
        <w:t>。</w:t>
      </w:r>
    </w:p>
    <w:p>
      <w:pPr>
        <w:ind w:firstLine="560" w:firstLineChars="200"/>
        <w:rPr>
          <w:rFonts w:hint="eastAsia" w:ascii="宋体" w:hAnsi="宋体"/>
          <w:sz w:val="28"/>
          <w:szCs w:val="28"/>
        </w:rPr>
      </w:pPr>
      <w:r>
        <w:rPr>
          <w:rFonts w:hint="eastAsia" w:ascii="宋体" w:hAnsi="宋体"/>
          <w:sz w:val="28"/>
          <w:szCs w:val="28"/>
        </w:rPr>
        <w:t>九、财政拨款“三公”经费支出决算情况说明</w:t>
      </w:r>
    </w:p>
    <w:p>
      <w:pPr>
        <w:ind w:left="420" w:leftChars="200"/>
        <w:rPr>
          <w:rFonts w:hint="eastAsia" w:ascii="宋体" w:hAnsi="宋体"/>
          <w:sz w:val="28"/>
          <w:szCs w:val="28"/>
        </w:rPr>
      </w:pPr>
      <w:r>
        <w:rPr>
          <w:rFonts w:hint="eastAsia" w:ascii="宋体" w:hAnsi="宋体"/>
          <w:sz w:val="28"/>
          <w:szCs w:val="28"/>
        </w:rPr>
        <w:t>（一）“三公”经费财政拨款支出决算总体情况说明</w:t>
      </w:r>
    </w:p>
    <w:p>
      <w:pPr>
        <w:ind w:firstLine="560" w:firstLineChars="200"/>
        <w:rPr>
          <w:rFonts w:hint="eastAsia" w:ascii="宋体" w:hAnsi="宋体"/>
          <w:sz w:val="28"/>
          <w:szCs w:val="28"/>
        </w:rPr>
      </w:pP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年度财政拨款“三公”经费支出决算数</w:t>
      </w:r>
      <w:r>
        <w:rPr>
          <w:rFonts w:hint="eastAsia" w:ascii="宋体" w:hAnsi="宋体"/>
          <w:sz w:val="28"/>
          <w:szCs w:val="28"/>
          <w:lang w:val="en-US" w:eastAsia="zh-CN"/>
        </w:rPr>
        <w:t>0</w:t>
      </w:r>
      <w:r>
        <w:rPr>
          <w:rFonts w:hint="eastAsia" w:ascii="宋体" w:hAnsi="宋体"/>
          <w:sz w:val="28"/>
          <w:szCs w:val="28"/>
        </w:rPr>
        <w:t>万元，较上年度增加</w:t>
      </w:r>
      <w:r>
        <w:rPr>
          <w:rFonts w:hint="eastAsia" w:ascii="宋体" w:hAnsi="宋体"/>
          <w:sz w:val="28"/>
          <w:szCs w:val="28"/>
          <w:lang w:val="en-US" w:eastAsia="zh-CN"/>
        </w:rPr>
        <w:t>0</w:t>
      </w:r>
      <w:r>
        <w:rPr>
          <w:rFonts w:hint="eastAsia" w:ascii="宋体" w:hAnsi="宋体"/>
          <w:sz w:val="28"/>
          <w:szCs w:val="28"/>
        </w:rPr>
        <w:t>万元，增长</w:t>
      </w:r>
      <w:r>
        <w:rPr>
          <w:rFonts w:hint="eastAsia" w:ascii="宋体" w:hAnsi="宋体"/>
          <w:sz w:val="28"/>
          <w:szCs w:val="28"/>
          <w:lang w:val="en-US" w:eastAsia="zh-CN"/>
        </w:rPr>
        <w:t>0</w:t>
      </w:r>
      <w:r>
        <w:rPr>
          <w:rFonts w:hint="eastAsia" w:ascii="宋体" w:hAnsi="宋体"/>
          <w:sz w:val="28"/>
          <w:szCs w:val="28"/>
        </w:rPr>
        <w:t>%，主要原因是</w:t>
      </w:r>
      <w:r>
        <w:rPr>
          <w:rFonts w:hint="eastAsia" w:ascii="宋体" w:hAnsi="宋体" w:eastAsia="宋体" w:cs="Times New Roman"/>
          <w:sz w:val="28"/>
          <w:szCs w:val="28"/>
        </w:rPr>
        <w:t>本单位无此项支出</w:t>
      </w:r>
      <w:r>
        <w:rPr>
          <w:rFonts w:hint="eastAsia" w:ascii="宋体" w:hAnsi="宋体"/>
          <w:sz w:val="28"/>
          <w:szCs w:val="28"/>
        </w:rPr>
        <w:t>；支出预算数</w:t>
      </w:r>
      <w:r>
        <w:rPr>
          <w:rFonts w:hint="eastAsia" w:ascii="宋体" w:hAnsi="宋体"/>
          <w:sz w:val="28"/>
          <w:szCs w:val="28"/>
          <w:lang w:val="en-US" w:eastAsia="zh-CN"/>
        </w:rPr>
        <w:t>0</w:t>
      </w:r>
      <w:r>
        <w:rPr>
          <w:rFonts w:hint="eastAsia" w:ascii="宋体" w:hAnsi="宋体"/>
          <w:sz w:val="28"/>
          <w:szCs w:val="28"/>
        </w:rPr>
        <w:t>万元，完成预算的</w:t>
      </w:r>
      <w:r>
        <w:rPr>
          <w:rFonts w:hint="eastAsia" w:ascii="宋体" w:hAnsi="宋体"/>
          <w:sz w:val="28"/>
          <w:szCs w:val="28"/>
          <w:lang w:val="en-US" w:eastAsia="zh-CN"/>
        </w:rPr>
        <w:t>0</w:t>
      </w:r>
      <w:r>
        <w:rPr>
          <w:rFonts w:hint="eastAsia" w:ascii="宋体" w:hAnsi="宋体"/>
          <w:sz w:val="28"/>
          <w:szCs w:val="28"/>
        </w:rPr>
        <w:t>%，主要原因是</w:t>
      </w:r>
      <w:r>
        <w:rPr>
          <w:rFonts w:hint="eastAsia" w:ascii="宋体" w:hAnsi="宋体" w:eastAsia="宋体" w:cs="Times New Roman"/>
          <w:sz w:val="28"/>
          <w:szCs w:val="28"/>
        </w:rPr>
        <w:t>本单位无此项支出</w:t>
      </w:r>
      <w:r>
        <w:rPr>
          <w:rFonts w:hint="eastAsia" w:ascii="宋体" w:hAnsi="宋体"/>
          <w:sz w:val="28"/>
          <w:szCs w:val="28"/>
        </w:rPr>
        <w:t>。</w:t>
      </w:r>
    </w:p>
    <w:p>
      <w:pPr>
        <w:ind w:left="420" w:leftChars="200"/>
        <w:rPr>
          <w:rFonts w:hint="eastAsia" w:ascii="宋体" w:hAnsi="宋体"/>
          <w:sz w:val="28"/>
          <w:szCs w:val="28"/>
        </w:rPr>
      </w:pPr>
      <w:r>
        <w:rPr>
          <w:rFonts w:hint="eastAsia" w:ascii="宋体" w:hAnsi="宋体"/>
          <w:sz w:val="28"/>
          <w:szCs w:val="28"/>
        </w:rPr>
        <w:t>（二）“三公”经费财政拨款支出决算具体情况说明</w:t>
      </w:r>
    </w:p>
    <w:p>
      <w:pPr>
        <w:ind w:firstLine="560" w:firstLineChars="200"/>
        <w:rPr>
          <w:rFonts w:hint="eastAsia" w:ascii="宋体" w:hAnsi="宋体"/>
          <w:sz w:val="28"/>
          <w:szCs w:val="28"/>
        </w:rPr>
      </w:pPr>
      <w:r>
        <w:rPr>
          <w:rFonts w:hint="eastAsia" w:ascii="宋体" w:hAnsi="宋体"/>
          <w:sz w:val="28"/>
          <w:szCs w:val="28"/>
        </w:rPr>
        <w:t>1.</w:t>
      </w:r>
      <w:r>
        <w:rPr>
          <w:rFonts w:hint="eastAsia" w:ascii="宋体" w:hAnsi="宋体" w:cs="仿宋_GB2312"/>
          <w:bCs/>
          <w:kern w:val="0"/>
          <w:sz w:val="28"/>
          <w:szCs w:val="28"/>
        </w:rPr>
        <w:t>因公出国（境）费</w:t>
      </w:r>
      <w:r>
        <w:rPr>
          <w:rFonts w:hint="eastAsia" w:ascii="宋体" w:hAnsi="宋体"/>
          <w:sz w:val="28"/>
          <w:szCs w:val="28"/>
        </w:rPr>
        <w:t>支出决算数</w:t>
      </w:r>
      <w:r>
        <w:rPr>
          <w:rFonts w:hint="eastAsia" w:ascii="宋体" w:hAnsi="宋体"/>
          <w:sz w:val="28"/>
          <w:szCs w:val="28"/>
          <w:lang w:val="en-US" w:eastAsia="zh-CN"/>
        </w:rPr>
        <w:t>0</w:t>
      </w:r>
      <w:r>
        <w:rPr>
          <w:rFonts w:hint="eastAsia" w:ascii="宋体" w:hAnsi="宋体"/>
          <w:sz w:val="28"/>
          <w:szCs w:val="28"/>
        </w:rPr>
        <w:t>万元，较上年度增加</w:t>
      </w:r>
      <w:r>
        <w:rPr>
          <w:rFonts w:hint="eastAsia" w:ascii="宋体" w:hAnsi="宋体"/>
          <w:sz w:val="28"/>
          <w:szCs w:val="28"/>
          <w:lang w:val="en-US" w:eastAsia="zh-CN"/>
        </w:rPr>
        <w:t>0</w:t>
      </w:r>
      <w:r>
        <w:rPr>
          <w:rFonts w:hint="eastAsia" w:ascii="宋体" w:hAnsi="宋体"/>
          <w:sz w:val="28"/>
          <w:szCs w:val="28"/>
        </w:rPr>
        <w:t>万元，增长</w:t>
      </w:r>
      <w:r>
        <w:rPr>
          <w:rFonts w:hint="eastAsia" w:ascii="宋体" w:hAnsi="宋体"/>
          <w:sz w:val="28"/>
          <w:szCs w:val="28"/>
          <w:lang w:val="en-US" w:eastAsia="zh-CN"/>
        </w:rPr>
        <w:t>0</w:t>
      </w:r>
      <w:r>
        <w:rPr>
          <w:rFonts w:hint="eastAsia" w:ascii="宋体" w:hAnsi="宋体"/>
          <w:sz w:val="28"/>
          <w:szCs w:val="28"/>
        </w:rPr>
        <w:t>%，主要原因是</w:t>
      </w:r>
      <w:r>
        <w:rPr>
          <w:rFonts w:hint="eastAsia" w:ascii="宋体" w:hAnsi="宋体" w:eastAsia="宋体" w:cs="Times New Roman"/>
          <w:sz w:val="28"/>
          <w:szCs w:val="28"/>
        </w:rPr>
        <w:t>本单位无此项支出</w:t>
      </w:r>
      <w:r>
        <w:rPr>
          <w:rFonts w:hint="eastAsia" w:ascii="宋体" w:hAnsi="宋体"/>
          <w:sz w:val="28"/>
          <w:szCs w:val="28"/>
        </w:rPr>
        <w:t>；支出预算数</w:t>
      </w:r>
      <w:r>
        <w:rPr>
          <w:rFonts w:hint="eastAsia" w:ascii="宋体" w:hAnsi="宋体"/>
          <w:sz w:val="28"/>
          <w:szCs w:val="28"/>
          <w:lang w:val="en-US" w:eastAsia="zh-CN"/>
        </w:rPr>
        <w:t>0</w:t>
      </w:r>
      <w:r>
        <w:rPr>
          <w:rFonts w:hint="eastAsia" w:ascii="宋体" w:hAnsi="宋体"/>
          <w:sz w:val="28"/>
          <w:szCs w:val="28"/>
        </w:rPr>
        <w:t>万元，完成预算的</w:t>
      </w:r>
      <w:r>
        <w:rPr>
          <w:rFonts w:hint="eastAsia" w:ascii="宋体" w:hAnsi="宋体"/>
          <w:sz w:val="28"/>
          <w:szCs w:val="28"/>
          <w:lang w:val="en-US" w:eastAsia="zh-CN"/>
        </w:rPr>
        <w:t>0</w:t>
      </w:r>
      <w:r>
        <w:rPr>
          <w:rFonts w:hint="eastAsia" w:ascii="宋体" w:hAnsi="宋体"/>
          <w:sz w:val="28"/>
          <w:szCs w:val="28"/>
        </w:rPr>
        <w:t>%，主要原因是</w:t>
      </w:r>
      <w:r>
        <w:rPr>
          <w:rFonts w:hint="eastAsia" w:ascii="宋体" w:hAnsi="宋体" w:eastAsia="宋体" w:cs="Times New Roman"/>
          <w:sz w:val="28"/>
          <w:szCs w:val="28"/>
        </w:rPr>
        <w:t>本单位无此项支出</w:t>
      </w:r>
      <w:r>
        <w:rPr>
          <w:rFonts w:hint="eastAsia" w:ascii="宋体" w:hAnsi="宋体"/>
          <w:sz w:val="28"/>
          <w:szCs w:val="28"/>
        </w:rPr>
        <w:t>。</w:t>
      </w:r>
    </w:p>
    <w:p>
      <w:pPr>
        <w:adjustRightInd w:val="0"/>
        <w:snapToGrid w:val="0"/>
        <w:spacing w:line="360" w:lineRule="auto"/>
        <w:ind w:firstLine="560" w:firstLineChars="200"/>
        <w:rPr>
          <w:rFonts w:hint="eastAsia" w:ascii="宋体" w:hAnsi="宋体"/>
          <w:sz w:val="28"/>
          <w:szCs w:val="28"/>
        </w:rPr>
      </w:pPr>
      <w:r>
        <w:rPr>
          <w:rFonts w:hint="eastAsia" w:ascii="宋体" w:hAnsi="宋体"/>
          <w:color w:val="000000"/>
          <w:sz w:val="28"/>
          <w:szCs w:val="28"/>
        </w:rPr>
        <w:t>全年支出涉及出国（境）团组0个，累计</w:t>
      </w:r>
      <w:r>
        <w:rPr>
          <w:rFonts w:hint="eastAsia" w:ascii="宋体" w:hAnsi="宋体"/>
          <w:color w:val="000000"/>
          <w:sz w:val="28"/>
          <w:szCs w:val="28"/>
          <w:lang w:val="en-US" w:eastAsia="zh-CN"/>
        </w:rPr>
        <w:t>0</w:t>
      </w:r>
      <w:r>
        <w:rPr>
          <w:rFonts w:hint="eastAsia" w:ascii="宋体" w:hAnsi="宋体"/>
          <w:color w:val="000000"/>
          <w:sz w:val="28"/>
          <w:szCs w:val="28"/>
        </w:rPr>
        <w:t>人次，主要用于开展以下工作：</w:t>
      </w:r>
      <w:r>
        <w:rPr>
          <w:rFonts w:hint="eastAsia" w:ascii="宋体" w:hAnsi="宋体"/>
          <w:color w:val="000000"/>
          <w:sz w:val="28"/>
          <w:szCs w:val="28"/>
          <w:lang w:val="en-US" w:eastAsia="zh-CN"/>
        </w:rPr>
        <w:t>无</w:t>
      </w:r>
      <w:r>
        <w:rPr>
          <w:rFonts w:hint="eastAsia" w:ascii="宋体" w:hAnsi="宋体"/>
          <w:color w:val="000000"/>
          <w:sz w:val="28"/>
          <w:szCs w:val="28"/>
        </w:rPr>
        <w:t>。</w:t>
      </w:r>
    </w:p>
    <w:p>
      <w:pPr>
        <w:ind w:firstLine="560" w:firstLineChars="200"/>
        <w:rPr>
          <w:rFonts w:hint="eastAsia" w:ascii="宋体" w:hAnsi="宋体"/>
          <w:color w:val="000000"/>
          <w:sz w:val="28"/>
          <w:szCs w:val="28"/>
        </w:rPr>
      </w:pPr>
      <w:r>
        <w:rPr>
          <w:rFonts w:hint="eastAsia" w:ascii="宋体" w:hAnsi="宋体"/>
          <w:color w:val="000000"/>
          <w:sz w:val="28"/>
          <w:szCs w:val="28"/>
        </w:rPr>
        <w:t>2.公务用车购置及运行费支出决算数为</w:t>
      </w:r>
      <w:r>
        <w:rPr>
          <w:rFonts w:hint="eastAsia" w:ascii="宋体" w:hAnsi="宋体"/>
          <w:color w:val="000000"/>
          <w:sz w:val="28"/>
          <w:szCs w:val="28"/>
          <w:lang w:val="en-US" w:eastAsia="zh-CN"/>
        </w:rPr>
        <w:t>0</w:t>
      </w:r>
      <w:r>
        <w:rPr>
          <w:rFonts w:hint="eastAsia" w:ascii="宋体" w:hAnsi="宋体"/>
          <w:color w:val="000000"/>
          <w:sz w:val="28"/>
          <w:szCs w:val="28"/>
        </w:rPr>
        <w:t>万元，</w:t>
      </w:r>
      <w:r>
        <w:rPr>
          <w:rFonts w:hint="eastAsia" w:ascii="宋体" w:hAnsi="宋体"/>
          <w:sz w:val="28"/>
          <w:szCs w:val="28"/>
        </w:rPr>
        <w:t>较上年度增加</w:t>
      </w:r>
      <w:r>
        <w:rPr>
          <w:rFonts w:hint="eastAsia" w:ascii="宋体" w:hAnsi="宋体"/>
          <w:sz w:val="28"/>
          <w:szCs w:val="28"/>
          <w:lang w:val="en-US" w:eastAsia="zh-CN"/>
        </w:rPr>
        <w:t>0</w:t>
      </w:r>
      <w:r>
        <w:rPr>
          <w:rFonts w:hint="eastAsia" w:ascii="宋体" w:hAnsi="宋体"/>
          <w:sz w:val="28"/>
          <w:szCs w:val="28"/>
        </w:rPr>
        <w:t>万元，增长</w:t>
      </w:r>
      <w:r>
        <w:rPr>
          <w:rFonts w:hint="eastAsia" w:ascii="宋体" w:hAnsi="宋体"/>
          <w:sz w:val="28"/>
          <w:szCs w:val="28"/>
          <w:lang w:val="en-US" w:eastAsia="zh-CN"/>
        </w:rPr>
        <w:t>0</w:t>
      </w:r>
      <w:r>
        <w:rPr>
          <w:rFonts w:hint="eastAsia" w:ascii="宋体" w:hAnsi="宋体"/>
          <w:sz w:val="28"/>
          <w:szCs w:val="28"/>
        </w:rPr>
        <w:t>%，主要原因是</w:t>
      </w:r>
      <w:r>
        <w:rPr>
          <w:rFonts w:hint="eastAsia" w:ascii="宋体" w:hAnsi="宋体" w:eastAsia="宋体" w:cs="Times New Roman"/>
          <w:sz w:val="28"/>
          <w:szCs w:val="28"/>
        </w:rPr>
        <w:t>本单位无此项支出</w:t>
      </w:r>
      <w:r>
        <w:rPr>
          <w:rFonts w:hint="eastAsia" w:ascii="宋体" w:hAnsi="宋体"/>
          <w:sz w:val="28"/>
          <w:szCs w:val="28"/>
        </w:rPr>
        <w:t>；支出预算数</w:t>
      </w:r>
      <w:r>
        <w:rPr>
          <w:rFonts w:hint="eastAsia" w:ascii="宋体" w:hAnsi="宋体"/>
          <w:sz w:val="28"/>
          <w:szCs w:val="28"/>
          <w:lang w:val="en-US" w:eastAsia="zh-CN"/>
        </w:rPr>
        <w:t>0</w:t>
      </w:r>
      <w:r>
        <w:rPr>
          <w:rFonts w:hint="eastAsia" w:ascii="宋体" w:hAnsi="宋体"/>
          <w:sz w:val="28"/>
          <w:szCs w:val="28"/>
        </w:rPr>
        <w:t>万元，完成预算的</w:t>
      </w:r>
      <w:r>
        <w:rPr>
          <w:rFonts w:hint="eastAsia" w:ascii="宋体" w:hAnsi="宋体"/>
          <w:sz w:val="28"/>
          <w:szCs w:val="28"/>
          <w:lang w:val="en-US" w:eastAsia="zh-CN"/>
        </w:rPr>
        <w:t>0</w:t>
      </w:r>
      <w:r>
        <w:rPr>
          <w:rFonts w:hint="eastAsia" w:ascii="宋体" w:hAnsi="宋体"/>
          <w:sz w:val="28"/>
          <w:szCs w:val="28"/>
        </w:rPr>
        <w:t>%，主要原因是</w:t>
      </w:r>
      <w:r>
        <w:rPr>
          <w:rFonts w:hint="eastAsia" w:ascii="宋体" w:hAnsi="宋体" w:eastAsia="宋体" w:cs="Times New Roman"/>
          <w:sz w:val="28"/>
          <w:szCs w:val="28"/>
        </w:rPr>
        <w:t>本单位无此项支出</w:t>
      </w:r>
      <w:r>
        <w:rPr>
          <w:rFonts w:hint="eastAsia" w:ascii="宋体" w:hAnsi="宋体"/>
          <w:sz w:val="28"/>
          <w:szCs w:val="28"/>
        </w:rPr>
        <w:t>。</w:t>
      </w:r>
      <w:r>
        <w:rPr>
          <w:rFonts w:hint="eastAsia" w:ascii="宋体" w:hAnsi="宋体"/>
          <w:color w:val="000000"/>
          <w:sz w:val="28"/>
          <w:szCs w:val="28"/>
        </w:rPr>
        <w:t>其中：</w:t>
      </w:r>
    </w:p>
    <w:p>
      <w:pPr>
        <w:adjustRightInd w:val="0"/>
        <w:snapToGrid w:val="0"/>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(1)公务用车购置费</w:t>
      </w:r>
      <w:r>
        <w:rPr>
          <w:rFonts w:hint="eastAsia" w:ascii="宋体" w:hAnsi="宋体"/>
          <w:color w:val="000000"/>
          <w:sz w:val="28"/>
          <w:szCs w:val="28"/>
          <w:lang w:val="en-US" w:eastAsia="zh-CN"/>
        </w:rPr>
        <w:t>0</w:t>
      </w:r>
      <w:r>
        <w:rPr>
          <w:rFonts w:hint="eastAsia" w:ascii="宋体" w:hAnsi="宋体"/>
          <w:color w:val="000000"/>
          <w:sz w:val="28"/>
          <w:szCs w:val="28"/>
        </w:rPr>
        <w:t>万元，完成预算的</w:t>
      </w:r>
      <w:r>
        <w:rPr>
          <w:rFonts w:hint="eastAsia" w:ascii="宋体" w:hAnsi="宋体"/>
          <w:color w:val="000000"/>
          <w:sz w:val="28"/>
          <w:szCs w:val="28"/>
          <w:lang w:val="en-US" w:eastAsia="zh-CN"/>
        </w:rPr>
        <w:t>0</w:t>
      </w:r>
      <w:r>
        <w:rPr>
          <w:rFonts w:hint="eastAsia" w:ascii="宋体" w:hAnsi="宋体"/>
          <w:color w:val="000000"/>
          <w:sz w:val="28"/>
          <w:szCs w:val="28"/>
        </w:rPr>
        <w:t>%，主要原因是</w:t>
      </w:r>
      <w:r>
        <w:rPr>
          <w:rFonts w:hint="eastAsia" w:ascii="宋体" w:hAnsi="宋体" w:eastAsia="宋体" w:cs="Times New Roman"/>
          <w:sz w:val="28"/>
          <w:szCs w:val="28"/>
        </w:rPr>
        <w:t>本单位无此项支出</w:t>
      </w:r>
      <w:r>
        <w:rPr>
          <w:rFonts w:hint="eastAsia" w:ascii="宋体" w:hAnsi="宋体"/>
          <w:color w:val="000000"/>
          <w:sz w:val="28"/>
          <w:szCs w:val="28"/>
        </w:rPr>
        <w:t>。本年度购置(更新)公务用车</w:t>
      </w:r>
      <w:r>
        <w:rPr>
          <w:rFonts w:hint="eastAsia" w:ascii="宋体" w:hAnsi="宋体"/>
          <w:color w:val="000000"/>
          <w:sz w:val="28"/>
          <w:szCs w:val="28"/>
          <w:lang w:val="en-US" w:eastAsia="zh-CN"/>
        </w:rPr>
        <w:t>0</w:t>
      </w:r>
      <w:r>
        <w:rPr>
          <w:rFonts w:hint="eastAsia" w:ascii="宋体" w:hAnsi="宋体"/>
          <w:color w:val="000000"/>
          <w:sz w:val="28"/>
          <w:szCs w:val="28"/>
        </w:rPr>
        <w:t>辆。</w:t>
      </w:r>
    </w:p>
    <w:p>
      <w:pPr>
        <w:adjustRightInd w:val="0"/>
        <w:snapToGrid w:val="0"/>
        <w:spacing w:line="360" w:lineRule="auto"/>
        <w:ind w:firstLine="560" w:firstLineChars="200"/>
        <w:rPr>
          <w:rFonts w:hint="eastAsia" w:ascii="宋体" w:hAnsi="宋体"/>
          <w:sz w:val="28"/>
          <w:szCs w:val="28"/>
        </w:rPr>
      </w:pPr>
      <w:r>
        <w:rPr>
          <w:rFonts w:hint="eastAsia" w:ascii="宋体" w:hAnsi="宋体"/>
          <w:color w:val="000000"/>
          <w:sz w:val="28"/>
          <w:szCs w:val="28"/>
        </w:rPr>
        <w:t>(2)公务用车运行费</w:t>
      </w:r>
      <w:r>
        <w:rPr>
          <w:rFonts w:hint="eastAsia" w:ascii="宋体" w:hAnsi="宋体"/>
          <w:color w:val="000000"/>
          <w:sz w:val="28"/>
          <w:szCs w:val="28"/>
          <w:lang w:val="en-US" w:eastAsia="zh-CN"/>
        </w:rPr>
        <w:t>0</w:t>
      </w:r>
      <w:r>
        <w:rPr>
          <w:rFonts w:hint="eastAsia" w:ascii="宋体" w:hAnsi="宋体"/>
          <w:color w:val="000000"/>
          <w:sz w:val="28"/>
          <w:szCs w:val="28"/>
        </w:rPr>
        <w:t>万元，完成预算的</w:t>
      </w:r>
      <w:r>
        <w:rPr>
          <w:rFonts w:hint="eastAsia" w:ascii="宋体" w:hAnsi="宋体"/>
          <w:color w:val="000000"/>
          <w:sz w:val="28"/>
          <w:szCs w:val="28"/>
          <w:lang w:val="en-US" w:eastAsia="zh-CN"/>
        </w:rPr>
        <w:t>0</w:t>
      </w:r>
      <w:r>
        <w:rPr>
          <w:rFonts w:hint="eastAsia" w:ascii="宋体" w:hAnsi="宋体"/>
          <w:color w:val="000000"/>
          <w:sz w:val="28"/>
          <w:szCs w:val="28"/>
        </w:rPr>
        <w:t>%，主要原因是</w:t>
      </w:r>
      <w:r>
        <w:rPr>
          <w:rFonts w:hint="eastAsia" w:ascii="宋体" w:hAnsi="宋体" w:eastAsia="宋体" w:cs="Times New Roman"/>
          <w:sz w:val="28"/>
          <w:szCs w:val="28"/>
        </w:rPr>
        <w:t>本单位无此项支出</w:t>
      </w:r>
      <w:r>
        <w:rPr>
          <w:rFonts w:hint="eastAsia" w:ascii="宋体" w:hAnsi="宋体" w:cs="宋体"/>
          <w:color w:val="000000"/>
          <w:kern w:val="0"/>
          <w:sz w:val="28"/>
          <w:szCs w:val="28"/>
        </w:rPr>
        <w:t>。</w:t>
      </w:r>
      <w:r>
        <w:rPr>
          <w:rFonts w:hint="eastAsia" w:ascii="宋体" w:hAnsi="宋体"/>
          <w:color w:val="000000"/>
          <w:sz w:val="28"/>
          <w:szCs w:val="28"/>
        </w:rPr>
        <w:t>截至202</w:t>
      </w:r>
      <w:r>
        <w:rPr>
          <w:rFonts w:hint="eastAsia" w:ascii="宋体" w:hAnsi="宋体"/>
          <w:color w:val="000000"/>
          <w:sz w:val="28"/>
          <w:szCs w:val="28"/>
          <w:lang w:val="en-US" w:eastAsia="zh-CN"/>
        </w:rPr>
        <w:t>4</w:t>
      </w:r>
      <w:r>
        <w:rPr>
          <w:rFonts w:hint="eastAsia" w:ascii="宋体" w:hAnsi="宋体"/>
          <w:color w:val="000000"/>
          <w:sz w:val="28"/>
          <w:szCs w:val="28"/>
        </w:rPr>
        <w:t>年12月31日，开支财政拨款的公务用车保有量</w:t>
      </w:r>
      <w:r>
        <w:rPr>
          <w:rFonts w:hint="eastAsia" w:ascii="宋体" w:hAnsi="宋体"/>
          <w:color w:val="000000"/>
          <w:sz w:val="28"/>
          <w:szCs w:val="28"/>
          <w:lang w:val="en-US" w:eastAsia="zh-CN"/>
        </w:rPr>
        <w:t>0</w:t>
      </w:r>
      <w:r>
        <w:rPr>
          <w:rFonts w:hint="eastAsia" w:ascii="宋体" w:hAnsi="宋体"/>
          <w:color w:val="000000"/>
          <w:sz w:val="28"/>
          <w:szCs w:val="28"/>
        </w:rPr>
        <w:t>辆。</w:t>
      </w:r>
    </w:p>
    <w:p>
      <w:pPr>
        <w:ind w:firstLine="560" w:firstLineChars="200"/>
        <w:rPr>
          <w:rFonts w:hint="eastAsia" w:ascii="宋体" w:hAnsi="宋体" w:cs="仿宋_GB2312"/>
          <w:bCs/>
          <w:kern w:val="0"/>
          <w:sz w:val="28"/>
          <w:szCs w:val="28"/>
        </w:rPr>
      </w:pPr>
      <w:r>
        <w:rPr>
          <w:rFonts w:hint="eastAsia" w:ascii="宋体" w:hAnsi="宋体"/>
          <w:sz w:val="28"/>
          <w:szCs w:val="28"/>
        </w:rPr>
        <w:t>3.公务接待费</w:t>
      </w:r>
      <w:r>
        <w:rPr>
          <w:rFonts w:hint="eastAsia" w:ascii="宋体" w:hAnsi="宋体"/>
          <w:color w:val="000000"/>
          <w:sz w:val="28"/>
          <w:szCs w:val="28"/>
        </w:rPr>
        <w:t>支出决算数为</w:t>
      </w:r>
      <w:r>
        <w:rPr>
          <w:rFonts w:hint="eastAsia" w:ascii="宋体" w:hAnsi="宋体"/>
          <w:color w:val="000000"/>
          <w:sz w:val="28"/>
          <w:szCs w:val="28"/>
          <w:lang w:val="en-US" w:eastAsia="zh-CN"/>
        </w:rPr>
        <w:t>0</w:t>
      </w:r>
      <w:r>
        <w:rPr>
          <w:rFonts w:hint="eastAsia" w:ascii="宋体" w:hAnsi="宋体"/>
          <w:color w:val="000000"/>
          <w:sz w:val="28"/>
          <w:szCs w:val="28"/>
        </w:rPr>
        <w:t>万元，</w:t>
      </w:r>
      <w:r>
        <w:rPr>
          <w:rFonts w:hint="eastAsia" w:ascii="宋体" w:hAnsi="宋体"/>
          <w:sz w:val="28"/>
          <w:szCs w:val="28"/>
        </w:rPr>
        <w:t>较上年度增加</w:t>
      </w:r>
      <w:r>
        <w:rPr>
          <w:rFonts w:hint="eastAsia" w:ascii="宋体" w:hAnsi="宋体"/>
          <w:sz w:val="28"/>
          <w:szCs w:val="28"/>
          <w:lang w:val="en-US" w:eastAsia="zh-CN"/>
        </w:rPr>
        <w:t>0</w:t>
      </w:r>
      <w:r>
        <w:rPr>
          <w:rFonts w:hint="eastAsia" w:ascii="宋体" w:hAnsi="宋体"/>
          <w:sz w:val="28"/>
          <w:szCs w:val="28"/>
        </w:rPr>
        <w:t>万元，增长</w:t>
      </w:r>
      <w:r>
        <w:rPr>
          <w:rFonts w:hint="eastAsia" w:ascii="宋体" w:hAnsi="宋体"/>
          <w:sz w:val="28"/>
          <w:szCs w:val="28"/>
          <w:lang w:val="en-US" w:eastAsia="zh-CN"/>
        </w:rPr>
        <w:t>0</w:t>
      </w:r>
      <w:r>
        <w:rPr>
          <w:rFonts w:hint="eastAsia" w:ascii="宋体" w:hAnsi="宋体"/>
          <w:sz w:val="28"/>
          <w:szCs w:val="28"/>
        </w:rPr>
        <w:t>%，主要原因是</w:t>
      </w:r>
      <w:r>
        <w:rPr>
          <w:rFonts w:hint="eastAsia" w:ascii="宋体" w:hAnsi="宋体" w:eastAsia="宋体" w:cs="Times New Roman"/>
          <w:sz w:val="28"/>
          <w:szCs w:val="28"/>
        </w:rPr>
        <w:t>本单位无此项支出</w:t>
      </w:r>
      <w:r>
        <w:rPr>
          <w:rFonts w:hint="eastAsia" w:ascii="宋体" w:hAnsi="宋体"/>
          <w:sz w:val="28"/>
          <w:szCs w:val="28"/>
        </w:rPr>
        <w:t>；支出预算数</w:t>
      </w:r>
      <w:r>
        <w:rPr>
          <w:rFonts w:hint="eastAsia" w:ascii="宋体" w:hAnsi="宋体"/>
          <w:sz w:val="28"/>
          <w:szCs w:val="28"/>
          <w:lang w:val="en-US" w:eastAsia="zh-CN"/>
        </w:rPr>
        <w:t>0</w:t>
      </w:r>
      <w:r>
        <w:rPr>
          <w:rFonts w:hint="eastAsia" w:ascii="宋体" w:hAnsi="宋体"/>
          <w:sz w:val="28"/>
          <w:szCs w:val="28"/>
        </w:rPr>
        <w:t>万元，完成预算的</w:t>
      </w:r>
      <w:r>
        <w:rPr>
          <w:rFonts w:hint="eastAsia" w:ascii="宋体" w:hAnsi="宋体"/>
          <w:sz w:val="28"/>
          <w:szCs w:val="28"/>
          <w:lang w:val="en-US" w:eastAsia="zh-CN"/>
        </w:rPr>
        <w:t>0</w:t>
      </w:r>
      <w:r>
        <w:rPr>
          <w:rFonts w:hint="eastAsia" w:ascii="宋体" w:hAnsi="宋体"/>
          <w:sz w:val="28"/>
          <w:szCs w:val="28"/>
        </w:rPr>
        <w:t>%，主要原因是</w:t>
      </w:r>
      <w:r>
        <w:rPr>
          <w:rFonts w:hint="eastAsia" w:ascii="宋体" w:hAnsi="宋体" w:eastAsia="宋体" w:cs="Times New Roman"/>
          <w:sz w:val="28"/>
          <w:szCs w:val="28"/>
        </w:rPr>
        <w:t>本单位无此项支出</w:t>
      </w:r>
      <w:r>
        <w:rPr>
          <w:rFonts w:hint="eastAsia" w:ascii="宋体" w:hAnsi="宋体"/>
          <w:sz w:val="28"/>
          <w:szCs w:val="28"/>
        </w:rPr>
        <w:t>。</w:t>
      </w:r>
      <w:r>
        <w:rPr>
          <w:rFonts w:hint="eastAsia" w:ascii="宋体" w:hAnsi="宋体" w:cs="仿宋_GB2312"/>
          <w:bCs/>
          <w:kern w:val="0"/>
          <w:sz w:val="28"/>
          <w:szCs w:val="28"/>
        </w:rPr>
        <w:t>其中：</w:t>
      </w:r>
    </w:p>
    <w:p>
      <w:pPr>
        <w:ind w:firstLine="560" w:firstLineChars="200"/>
        <w:rPr>
          <w:rFonts w:hint="eastAsia" w:ascii="宋体" w:hAnsi="宋体" w:cs="仿宋_GB2312"/>
          <w:bCs/>
          <w:kern w:val="0"/>
          <w:sz w:val="28"/>
          <w:szCs w:val="28"/>
        </w:rPr>
      </w:pPr>
      <w:r>
        <w:rPr>
          <w:rFonts w:hint="eastAsia" w:ascii="宋体" w:hAnsi="宋体" w:cs="仿宋_GB2312"/>
          <w:bCs/>
          <w:kern w:val="0"/>
          <w:sz w:val="28"/>
          <w:szCs w:val="28"/>
        </w:rPr>
        <w:t>外宾接待支出</w:t>
      </w:r>
      <w:r>
        <w:rPr>
          <w:rFonts w:hint="eastAsia" w:ascii="宋体" w:hAnsi="宋体" w:cs="仿宋_GB2312"/>
          <w:bCs/>
          <w:kern w:val="0"/>
          <w:sz w:val="28"/>
          <w:szCs w:val="28"/>
          <w:lang w:val="en-US" w:eastAsia="zh-CN"/>
        </w:rPr>
        <w:t>0</w:t>
      </w:r>
      <w:r>
        <w:rPr>
          <w:rFonts w:hint="eastAsia" w:ascii="宋体" w:hAnsi="宋体" w:cs="仿宋_GB2312"/>
          <w:bCs/>
          <w:kern w:val="0"/>
          <w:sz w:val="28"/>
          <w:szCs w:val="28"/>
        </w:rPr>
        <w:t>万元，来访对象主要是</w:t>
      </w:r>
      <w:r>
        <w:rPr>
          <w:rFonts w:hint="eastAsia" w:ascii="宋体" w:hAnsi="宋体" w:eastAsia="宋体" w:cs="Times New Roman"/>
          <w:sz w:val="28"/>
          <w:szCs w:val="28"/>
        </w:rPr>
        <w:t>本单位无此项支出</w:t>
      </w:r>
      <w:r>
        <w:rPr>
          <w:rFonts w:hint="eastAsia" w:ascii="宋体" w:hAnsi="宋体"/>
          <w:sz w:val="28"/>
          <w:szCs w:val="28"/>
        </w:rPr>
        <w:t>，主要是开展以下工作：</w:t>
      </w:r>
      <w:r>
        <w:rPr>
          <w:rFonts w:hint="eastAsia" w:ascii="宋体" w:hAnsi="宋体"/>
          <w:sz w:val="28"/>
          <w:szCs w:val="28"/>
          <w:lang w:val="en-US" w:eastAsia="zh-CN"/>
        </w:rPr>
        <w:t>无</w:t>
      </w:r>
      <w:r>
        <w:rPr>
          <w:rFonts w:hint="eastAsia" w:ascii="宋体" w:hAnsi="宋体"/>
          <w:sz w:val="28"/>
          <w:szCs w:val="28"/>
        </w:rPr>
        <w:t>。</w:t>
      </w:r>
      <w:r>
        <w:rPr>
          <w:rFonts w:hint="eastAsia" w:ascii="宋体" w:hAnsi="宋体" w:cs="仿宋_GB2312"/>
          <w:bCs/>
          <w:kern w:val="0"/>
          <w:sz w:val="28"/>
          <w:szCs w:val="28"/>
        </w:rPr>
        <w:t>202</w:t>
      </w:r>
      <w:r>
        <w:rPr>
          <w:rFonts w:hint="eastAsia" w:ascii="宋体" w:hAnsi="宋体" w:cs="仿宋_GB2312"/>
          <w:bCs/>
          <w:kern w:val="0"/>
          <w:sz w:val="28"/>
          <w:szCs w:val="28"/>
          <w:lang w:val="en-US" w:eastAsia="zh-CN"/>
        </w:rPr>
        <w:t>4</w:t>
      </w:r>
      <w:r>
        <w:rPr>
          <w:rFonts w:hint="eastAsia" w:ascii="宋体" w:hAnsi="宋体" w:cs="仿宋_GB2312"/>
          <w:bCs/>
          <w:kern w:val="0"/>
          <w:sz w:val="28"/>
          <w:szCs w:val="28"/>
        </w:rPr>
        <w:t>年共接待来访团组</w:t>
      </w:r>
      <w:r>
        <w:rPr>
          <w:rFonts w:hint="eastAsia" w:ascii="宋体" w:hAnsi="宋体" w:cs="仿宋_GB2312"/>
          <w:bCs/>
          <w:kern w:val="0"/>
          <w:sz w:val="28"/>
          <w:szCs w:val="28"/>
          <w:lang w:val="en-US" w:eastAsia="zh-CN"/>
        </w:rPr>
        <w:t>0</w:t>
      </w:r>
      <w:r>
        <w:rPr>
          <w:rFonts w:hint="eastAsia" w:ascii="宋体" w:hAnsi="宋体" w:cs="仿宋_GB2312"/>
          <w:bCs/>
          <w:kern w:val="0"/>
          <w:sz w:val="28"/>
          <w:szCs w:val="28"/>
        </w:rPr>
        <w:t>个，接待人数</w:t>
      </w:r>
      <w:r>
        <w:rPr>
          <w:rFonts w:hint="eastAsia" w:ascii="宋体" w:hAnsi="宋体" w:cs="仿宋_GB2312"/>
          <w:bCs/>
          <w:kern w:val="0"/>
          <w:sz w:val="28"/>
          <w:szCs w:val="28"/>
          <w:lang w:val="en-US" w:eastAsia="zh-CN"/>
        </w:rPr>
        <w:t>0</w:t>
      </w:r>
      <w:r>
        <w:rPr>
          <w:rFonts w:hint="eastAsia" w:ascii="宋体" w:hAnsi="宋体" w:cs="仿宋_GB2312"/>
          <w:bCs/>
          <w:kern w:val="0"/>
          <w:sz w:val="28"/>
          <w:szCs w:val="28"/>
        </w:rPr>
        <w:t>人次</w:t>
      </w:r>
      <w:r>
        <w:rPr>
          <w:rFonts w:hint="eastAsia" w:ascii="宋体" w:hAnsi="宋体"/>
          <w:color w:val="000000"/>
          <w:sz w:val="28"/>
          <w:szCs w:val="28"/>
        </w:rPr>
        <w:t>（不包括陪同人员）</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cs="仿宋_GB2312"/>
          <w:bCs/>
          <w:kern w:val="0"/>
          <w:sz w:val="28"/>
          <w:szCs w:val="28"/>
        </w:rPr>
        <w:t>国内公务接待支出</w:t>
      </w:r>
      <w:r>
        <w:rPr>
          <w:rFonts w:hint="eastAsia" w:ascii="宋体" w:hAnsi="宋体"/>
          <w:sz w:val="28"/>
          <w:szCs w:val="28"/>
          <w:lang w:val="en-US" w:eastAsia="zh-CN"/>
        </w:rPr>
        <w:t>0</w:t>
      </w:r>
      <w:r>
        <w:rPr>
          <w:rFonts w:hint="eastAsia" w:ascii="宋体" w:hAnsi="宋体" w:cs="仿宋_GB2312"/>
          <w:bCs/>
          <w:kern w:val="0"/>
          <w:sz w:val="28"/>
          <w:szCs w:val="28"/>
        </w:rPr>
        <w:t>万元，接待对象主要是</w:t>
      </w:r>
      <w:r>
        <w:rPr>
          <w:rFonts w:hint="eastAsia" w:ascii="宋体" w:hAnsi="宋体" w:eastAsia="宋体" w:cs="Times New Roman"/>
          <w:sz w:val="28"/>
          <w:szCs w:val="28"/>
        </w:rPr>
        <w:t>本单位无此项支出</w:t>
      </w:r>
      <w:r>
        <w:rPr>
          <w:rFonts w:hint="eastAsia" w:ascii="宋体" w:hAnsi="宋体"/>
          <w:sz w:val="28"/>
          <w:szCs w:val="28"/>
        </w:rPr>
        <w:t>，主要是</w:t>
      </w:r>
      <w:r>
        <w:rPr>
          <w:rFonts w:hint="eastAsia" w:ascii="宋体" w:hAnsi="宋体"/>
          <w:color w:val="000000"/>
          <w:sz w:val="28"/>
          <w:szCs w:val="28"/>
        </w:rPr>
        <w:t>开展以下工作：</w:t>
      </w:r>
      <w:r>
        <w:rPr>
          <w:rFonts w:hint="eastAsia" w:ascii="宋体" w:hAnsi="宋体"/>
          <w:color w:val="000000"/>
          <w:sz w:val="28"/>
          <w:szCs w:val="28"/>
          <w:lang w:val="en-US" w:eastAsia="zh-CN"/>
        </w:rPr>
        <w:t>无</w:t>
      </w:r>
      <w:r>
        <w:rPr>
          <w:rFonts w:hint="eastAsia" w:ascii="宋体" w:hAnsi="宋体"/>
          <w:color w:val="000000"/>
          <w:sz w:val="28"/>
          <w:szCs w:val="28"/>
        </w:rPr>
        <w:t>。</w:t>
      </w:r>
      <w:r>
        <w:rPr>
          <w:rFonts w:hint="eastAsia" w:ascii="宋体" w:hAnsi="宋体" w:cs="仿宋_GB2312"/>
          <w:bCs/>
          <w:kern w:val="0"/>
          <w:sz w:val="28"/>
          <w:szCs w:val="28"/>
        </w:rPr>
        <w:t>202</w:t>
      </w:r>
      <w:r>
        <w:rPr>
          <w:rFonts w:hint="eastAsia" w:ascii="宋体" w:hAnsi="宋体" w:cs="仿宋_GB2312"/>
          <w:bCs/>
          <w:kern w:val="0"/>
          <w:sz w:val="28"/>
          <w:szCs w:val="28"/>
          <w:lang w:val="en-US" w:eastAsia="zh-CN"/>
        </w:rPr>
        <w:t>4</w:t>
      </w:r>
      <w:r>
        <w:rPr>
          <w:rFonts w:hint="eastAsia" w:ascii="宋体" w:hAnsi="宋体" w:cs="仿宋_GB2312"/>
          <w:bCs/>
          <w:kern w:val="0"/>
          <w:sz w:val="28"/>
          <w:szCs w:val="28"/>
        </w:rPr>
        <w:t>年共接待国内来访团组</w:t>
      </w:r>
      <w:r>
        <w:rPr>
          <w:rFonts w:hint="eastAsia" w:ascii="宋体" w:hAnsi="宋体" w:cs="仿宋_GB2312"/>
          <w:bCs/>
          <w:kern w:val="0"/>
          <w:sz w:val="28"/>
          <w:szCs w:val="28"/>
          <w:lang w:val="en-US" w:eastAsia="zh-CN"/>
        </w:rPr>
        <w:t>0</w:t>
      </w:r>
      <w:r>
        <w:rPr>
          <w:rFonts w:hint="eastAsia" w:ascii="宋体" w:hAnsi="宋体" w:cs="仿宋_GB2312"/>
          <w:bCs/>
          <w:kern w:val="0"/>
          <w:sz w:val="28"/>
          <w:szCs w:val="28"/>
        </w:rPr>
        <w:t>个，接待人数</w:t>
      </w:r>
      <w:r>
        <w:rPr>
          <w:rFonts w:hint="eastAsia" w:ascii="宋体" w:hAnsi="宋体" w:cs="仿宋_GB2312"/>
          <w:bCs/>
          <w:kern w:val="0"/>
          <w:sz w:val="28"/>
          <w:szCs w:val="28"/>
          <w:lang w:val="en-US" w:eastAsia="zh-CN"/>
        </w:rPr>
        <w:t>0</w:t>
      </w:r>
      <w:r>
        <w:rPr>
          <w:rFonts w:hint="eastAsia" w:ascii="宋体" w:hAnsi="宋体" w:cs="仿宋_GB2312"/>
          <w:bCs/>
          <w:kern w:val="0"/>
          <w:sz w:val="28"/>
          <w:szCs w:val="28"/>
        </w:rPr>
        <w:t>人次</w:t>
      </w:r>
      <w:r>
        <w:rPr>
          <w:rFonts w:hint="eastAsia" w:ascii="宋体" w:hAnsi="宋体"/>
          <w:color w:val="000000"/>
          <w:sz w:val="28"/>
          <w:szCs w:val="28"/>
        </w:rPr>
        <w:t>（不包括陪同人员）。</w:t>
      </w:r>
    </w:p>
    <w:p>
      <w:pPr>
        <w:ind w:firstLine="560" w:firstLineChars="200"/>
        <w:rPr>
          <w:rFonts w:hint="eastAsia" w:ascii="宋体" w:hAnsi="宋体"/>
          <w:sz w:val="28"/>
          <w:szCs w:val="28"/>
        </w:rPr>
      </w:pPr>
      <w:r>
        <w:rPr>
          <w:rFonts w:hint="eastAsia" w:ascii="宋体" w:hAnsi="宋体"/>
          <w:sz w:val="28"/>
          <w:szCs w:val="28"/>
        </w:rPr>
        <w:t>十、机关运行经费支出情况说明</w:t>
      </w:r>
    </w:p>
    <w:p>
      <w:pPr>
        <w:ind w:firstLine="560" w:firstLineChars="200"/>
        <w:rPr>
          <w:rFonts w:hint="eastAsia" w:ascii="宋体" w:hAnsi="宋体" w:eastAsia="宋体" w:cs="宋体"/>
          <w:caps w:val="0"/>
          <w:color w:val="000000"/>
          <w:spacing w:val="0"/>
          <w:sz w:val="28"/>
          <w:szCs w:val="28"/>
          <w:shd w:val="clear" w:color="auto" w:fill="FFFFFF"/>
        </w:rPr>
      </w:pPr>
      <w:r>
        <w:rPr>
          <w:rFonts w:hint="eastAsia" w:ascii="宋体" w:hAnsi="宋体"/>
          <w:bCs/>
          <w:color w:val="000000"/>
          <w:sz w:val="28"/>
          <w:szCs w:val="28"/>
        </w:rPr>
        <w:t>大冶市</w:t>
      </w:r>
      <w:r>
        <w:rPr>
          <w:rFonts w:hint="eastAsia" w:ascii="宋体" w:hAnsi="宋体"/>
          <w:bCs/>
          <w:color w:val="000000"/>
          <w:sz w:val="28"/>
          <w:szCs w:val="28"/>
          <w:lang w:val="en-US" w:eastAsia="zh-CN"/>
        </w:rPr>
        <w:t>灵乡镇党群服务中心</w:t>
      </w:r>
      <w:r>
        <w:rPr>
          <w:rFonts w:hint="eastAsia" w:ascii="宋体" w:hAnsi="宋体" w:cs="仿宋_GB2312"/>
          <w:sz w:val="28"/>
          <w:szCs w:val="28"/>
        </w:rPr>
        <w:t>202</w:t>
      </w:r>
      <w:r>
        <w:rPr>
          <w:rFonts w:hint="eastAsia" w:ascii="宋体" w:hAnsi="宋体" w:cs="仿宋_GB2312"/>
          <w:sz w:val="28"/>
          <w:szCs w:val="28"/>
          <w:lang w:val="en-US" w:eastAsia="zh-CN"/>
        </w:rPr>
        <w:t>4</w:t>
      </w:r>
      <w:r>
        <w:rPr>
          <w:rFonts w:hint="eastAsia" w:ascii="宋体" w:hAnsi="宋体" w:cs="仿宋_GB2312"/>
          <w:sz w:val="28"/>
          <w:szCs w:val="28"/>
        </w:rPr>
        <w:t>年度机关运行经费支出为</w:t>
      </w:r>
      <w:r>
        <w:rPr>
          <w:rFonts w:hint="eastAsia" w:ascii="宋体" w:hAnsi="宋体" w:cs="仿宋_GB2312"/>
          <w:sz w:val="28"/>
          <w:szCs w:val="28"/>
          <w:lang w:val="en-US" w:eastAsia="zh-CN"/>
        </w:rPr>
        <w:t>0</w:t>
      </w:r>
      <w:r>
        <w:rPr>
          <w:rFonts w:hint="eastAsia" w:ascii="宋体" w:hAnsi="宋体" w:cs="仿宋_GB2312"/>
          <w:sz w:val="28"/>
          <w:szCs w:val="28"/>
        </w:rPr>
        <w:t>万元（与部门决算中行政单位和参照公务员法管理事业单位财政拨款基本支出中公用经费之和一致），</w:t>
      </w:r>
      <w:r>
        <w:rPr>
          <w:rFonts w:hint="eastAsia" w:ascii="宋体" w:hAnsi="宋体" w:eastAsia="宋体" w:cs="宋体"/>
          <w:caps w:val="0"/>
          <w:color w:val="000000"/>
          <w:spacing w:val="0"/>
          <w:sz w:val="28"/>
          <w:szCs w:val="28"/>
          <w:shd w:val="clear" w:color="auto" w:fill="FFFFFF"/>
          <w:lang w:val="en-US" w:eastAsia="zh-CN"/>
        </w:rPr>
        <w:t>与上年度持平，比年初预算增加0万元，完成年初预算的0%，主要原因是本单位为非参照公务员管理的事业单位，故无机关运行经费</w:t>
      </w:r>
      <w:r>
        <w:rPr>
          <w:rFonts w:hint="eastAsia" w:ascii="宋体" w:hAnsi="宋体" w:eastAsia="宋体" w:cs="宋体"/>
          <w:caps w:val="0"/>
          <w:color w:val="000000"/>
          <w:spacing w:val="0"/>
          <w:sz w:val="28"/>
          <w:szCs w:val="28"/>
          <w:shd w:val="clear" w:color="auto" w:fill="FFFFFF"/>
        </w:rPr>
        <w:t>。</w:t>
      </w:r>
    </w:p>
    <w:p>
      <w:pPr>
        <w:ind w:firstLine="560" w:firstLineChars="200"/>
        <w:rPr>
          <w:rFonts w:hint="eastAsia" w:ascii="宋体" w:hAnsi="宋体"/>
          <w:sz w:val="28"/>
          <w:szCs w:val="28"/>
        </w:rPr>
      </w:pPr>
      <w:r>
        <w:rPr>
          <w:rFonts w:hint="eastAsia" w:ascii="宋体" w:hAnsi="宋体"/>
          <w:sz w:val="28"/>
          <w:szCs w:val="28"/>
        </w:rPr>
        <w:t>十一、政府采购支出情况说明</w:t>
      </w:r>
    </w:p>
    <w:p>
      <w:pPr>
        <w:ind w:firstLine="560" w:firstLineChars="200"/>
        <w:rPr>
          <w:rFonts w:hint="eastAsia" w:ascii="宋体" w:hAnsi="宋体" w:eastAsia="宋体"/>
          <w:sz w:val="28"/>
          <w:szCs w:val="28"/>
          <w:highlight w:val="yellow"/>
          <w:lang w:eastAsia="zh-CN"/>
        </w:rPr>
      </w:pPr>
      <w:r>
        <w:rPr>
          <w:rFonts w:hint="eastAsia" w:ascii="宋体" w:hAnsi="宋体"/>
          <w:bCs/>
          <w:color w:val="000000"/>
          <w:sz w:val="28"/>
          <w:szCs w:val="28"/>
        </w:rPr>
        <w:t>大冶市</w:t>
      </w:r>
      <w:r>
        <w:rPr>
          <w:rFonts w:hint="eastAsia" w:ascii="宋体" w:hAnsi="宋体"/>
          <w:bCs/>
          <w:color w:val="000000"/>
          <w:sz w:val="28"/>
          <w:szCs w:val="28"/>
          <w:lang w:val="en-US" w:eastAsia="zh-CN"/>
        </w:rPr>
        <w:t>灵乡镇党群服务中心</w:t>
      </w:r>
      <w:r>
        <w:rPr>
          <w:rFonts w:hint="eastAsia" w:ascii="宋体" w:hAnsi="宋体"/>
          <w:sz w:val="28"/>
          <w:szCs w:val="28"/>
        </w:rPr>
        <w:t>20</w:t>
      </w:r>
      <w:r>
        <w:rPr>
          <w:rFonts w:hint="eastAsia" w:ascii="宋体" w:hAnsi="宋体"/>
          <w:sz w:val="28"/>
          <w:szCs w:val="28"/>
          <w:lang w:val="en-US" w:eastAsia="zh-CN"/>
        </w:rPr>
        <w:t>24</w:t>
      </w:r>
      <w:r>
        <w:rPr>
          <w:rFonts w:hint="eastAsia" w:ascii="宋体" w:hAnsi="宋体"/>
          <w:sz w:val="28"/>
          <w:szCs w:val="28"/>
        </w:rPr>
        <w:t>年度政府采购支出总额为</w:t>
      </w:r>
      <w:r>
        <w:rPr>
          <w:rFonts w:hint="eastAsia" w:ascii="宋体" w:hAnsi="宋体"/>
          <w:sz w:val="28"/>
          <w:szCs w:val="28"/>
          <w:lang w:val="en-US" w:eastAsia="zh-CN"/>
        </w:rPr>
        <w:t>0</w:t>
      </w:r>
      <w:r>
        <w:rPr>
          <w:rFonts w:hint="eastAsia" w:ascii="宋体" w:hAnsi="宋体"/>
          <w:sz w:val="28"/>
          <w:szCs w:val="28"/>
        </w:rPr>
        <w:t>万元，其中政府采购货物支出</w:t>
      </w:r>
      <w:r>
        <w:rPr>
          <w:rFonts w:hint="eastAsia" w:ascii="宋体" w:hAnsi="宋体"/>
          <w:sz w:val="28"/>
          <w:szCs w:val="28"/>
          <w:lang w:val="en-US" w:eastAsia="zh-CN"/>
        </w:rPr>
        <w:t>0</w:t>
      </w:r>
      <w:r>
        <w:rPr>
          <w:rFonts w:hint="eastAsia" w:ascii="宋体" w:hAnsi="宋体"/>
          <w:sz w:val="28"/>
          <w:szCs w:val="28"/>
        </w:rPr>
        <w:t>万元、政府采购工程支出</w:t>
      </w:r>
      <w:r>
        <w:rPr>
          <w:rFonts w:hint="eastAsia" w:ascii="宋体" w:hAnsi="宋体"/>
          <w:sz w:val="28"/>
          <w:szCs w:val="28"/>
          <w:lang w:val="en-US" w:eastAsia="zh-CN"/>
        </w:rPr>
        <w:t>0</w:t>
      </w:r>
      <w:r>
        <w:rPr>
          <w:rFonts w:hint="eastAsia" w:ascii="宋体" w:hAnsi="宋体"/>
          <w:sz w:val="28"/>
          <w:szCs w:val="28"/>
        </w:rPr>
        <w:t>万元、政府采购服务支出</w:t>
      </w:r>
      <w:r>
        <w:rPr>
          <w:rFonts w:hint="eastAsia" w:ascii="宋体" w:hAnsi="宋体"/>
          <w:sz w:val="28"/>
          <w:szCs w:val="28"/>
          <w:lang w:val="en-US" w:eastAsia="zh-CN"/>
        </w:rPr>
        <w:t>0</w:t>
      </w:r>
      <w:r>
        <w:rPr>
          <w:rFonts w:hint="eastAsia" w:ascii="宋体" w:hAnsi="宋体"/>
          <w:sz w:val="28"/>
          <w:szCs w:val="28"/>
        </w:rPr>
        <w:t>万元。授予中小企业合同金额</w:t>
      </w:r>
      <w:r>
        <w:rPr>
          <w:rFonts w:hint="eastAsia" w:ascii="宋体" w:hAnsi="宋体"/>
          <w:sz w:val="28"/>
          <w:szCs w:val="28"/>
          <w:lang w:val="en-US" w:eastAsia="zh-CN"/>
        </w:rPr>
        <w:t>0</w:t>
      </w:r>
      <w:r>
        <w:rPr>
          <w:rFonts w:hint="eastAsia" w:ascii="宋体" w:hAnsi="宋体"/>
          <w:sz w:val="28"/>
          <w:szCs w:val="28"/>
        </w:rPr>
        <w:t>万元，占政府采购支出总额的</w:t>
      </w:r>
      <w:r>
        <w:rPr>
          <w:rFonts w:hint="eastAsia" w:ascii="宋体" w:hAnsi="宋体"/>
          <w:sz w:val="28"/>
          <w:szCs w:val="28"/>
          <w:lang w:val="en-US" w:eastAsia="zh-CN"/>
        </w:rPr>
        <w:t>0</w:t>
      </w:r>
      <w:r>
        <w:rPr>
          <w:rFonts w:hint="eastAsia" w:ascii="宋体" w:hAnsi="宋体"/>
          <w:sz w:val="28"/>
          <w:szCs w:val="28"/>
        </w:rPr>
        <w:t>%，其中：授予小微企业合同金额</w:t>
      </w:r>
      <w:r>
        <w:rPr>
          <w:rFonts w:hint="eastAsia" w:ascii="宋体" w:hAnsi="宋体"/>
          <w:sz w:val="28"/>
          <w:szCs w:val="28"/>
          <w:lang w:val="en-US" w:eastAsia="zh-CN"/>
        </w:rPr>
        <w:t>0</w:t>
      </w:r>
      <w:r>
        <w:rPr>
          <w:rFonts w:hint="eastAsia" w:ascii="宋体" w:hAnsi="宋体"/>
          <w:sz w:val="28"/>
          <w:szCs w:val="28"/>
        </w:rPr>
        <w:t>万元，占政府采购支出总额的</w:t>
      </w:r>
      <w:r>
        <w:rPr>
          <w:rFonts w:hint="eastAsia" w:ascii="宋体" w:hAnsi="宋体"/>
          <w:sz w:val="28"/>
          <w:szCs w:val="28"/>
          <w:lang w:val="en-US" w:eastAsia="zh-CN"/>
        </w:rPr>
        <w:t>0</w:t>
      </w:r>
      <w:r>
        <w:rPr>
          <w:rFonts w:hint="eastAsia" w:ascii="宋体" w:hAnsi="宋体"/>
          <w:sz w:val="28"/>
          <w:szCs w:val="28"/>
        </w:rPr>
        <w:t>%，占授予中小企业合同金额的</w:t>
      </w:r>
      <w:r>
        <w:rPr>
          <w:rFonts w:hint="eastAsia" w:ascii="宋体" w:hAnsi="宋体"/>
          <w:sz w:val="28"/>
          <w:szCs w:val="28"/>
          <w:lang w:val="en-US" w:eastAsia="zh-CN"/>
        </w:rPr>
        <w:t>0</w:t>
      </w:r>
      <w:r>
        <w:rPr>
          <w:rFonts w:hint="eastAsia" w:ascii="宋体" w:hAnsi="宋体"/>
          <w:sz w:val="28"/>
          <w:szCs w:val="28"/>
        </w:rPr>
        <w:t>%；货物采购授予中小企业合同金额占货物支出金额的</w:t>
      </w:r>
      <w:r>
        <w:rPr>
          <w:rFonts w:hint="eastAsia" w:ascii="宋体" w:hAnsi="宋体"/>
          <w:sz w:val="28"/>
          <w:szCs w:val="28"/>
          <w:lang w:val="en-US" w:eastAsia="zh-CN"/>
        </w:rPr>
        <w:t>0</w:t>
      </w:r>
      <w:r>
        <w:rPr>
          <w:rFonts w:hint="eastAsia" w:ascii="宋体" w:hAnsi="宋体"/>
          <w:sz w:val="28"/>
          <w:szCs w:val="28"/>
        </w:rPr>
        <w:t>%，工程采购授予中小企业合同金额占工程支出金额的</w:t>
      </w:r>
      <w:r>
        <w:rPr>
          <w:rFonts w:hint="eastAsia" w:ascii="宋体" w:hAnsi="宋体"/>
          <w:sz w:val="28"/>
          <w:szCs w:val="28"/>
          <w:lang w:val="en-US" w:eastAsia="zh-CN"/>
        </w:rPr>
        <w:t>0</w:t>
      </w:r>
      <w:r>
        <w:rPr>
          <w:rFonts w:hint="eastAsia" w:ascii="宋体" w:hAnsi="宋体"/>
          <w:sz w:val="28"/>
          <w:szCs w:val="28"/>
        </w:rPr>
        <w:t>%，服务采购授予中小企业合同金额占服务支出金额的</w:t>
      </w:r>
      <w:r>
        <w:rPr>
          <w:rFonts w:hint="eastAsia" w:ascii="宋体" w:hAnsi="宋体"/>
          <w:sz w:val="28"/>
          <w:szCs w:val="28"/>
          <w:lang w:val="en-US" w:eastAsia="zh-CN"/>
        </w:rPr>
        <w:t>0</w:t>
      </w:r>
      <w:r>
        <w:rPr>
          <w:rFonts w:hint="eastAsia" w:ascii="宋体" w:hAnsi="宋体"/>
          <w:sz w:val="28"/>
          <w:szCs w:val="28"/>
        </w:rPr>
        <w:t>%</w:t>
      </w:r>
      <w:r>
        <w:rPr>
          <w:rFonts w:hint="eastAsia" w:ascii="宋体" w:hAnsi="宋体"/>
          <w:sz w:val="28"/>
          <w:szCs w:val="28"/>
          <w:lang w:eastAsia="zh-CN"/>
        </w:rPr>
        <w:t>。</w:t>
      </w:r>
    </w:p>
    <w:p>
      <w:pPr>
        <w:ind w:firstLine="560" w:firstLineChars="200"/>
        <w:rPr>
          <w:rFonts w:hint="eastAsia" w:ascii="宋体" w:hAnsi="宋体"/>
          <w:sz w:val="28"/>
          <w:szCs w:val="28"/>
        </w:rPr>
      </w:pPr>
      <w:r>
        <w:rPr>
          <w:rFonts w:hint="eastAsia" w:ascii="宋体" w:hAnsi="宋体"/>
          <w:sz w:val="28"/>
          <w:szCs w:val="28"/>
        </w:rPr>
        <w:t>十二、国有资产占用情况说明</w:t>
      </w:r>
    </w:p>
    <w:p>
      <w:pPr>
        <w:ind w:firstLine="560" w:firstLineChars="200"/>
        <w:rPr>
          <w:rFonts w:hint="eastAsia" w:ascii="宋体" w:hAnsi="宋体"/>
          <w:sz w:val="28"/>
          <w:szCs w:val="28"/>
        </w:rPr>
      </w:pPr>
      <w:r>
        <w:rPr>
          <w:rFonts w:hint="eastAsia" w:ascii="宋体" w:hAnsi="宋体"/>
          <w:sz w:val="28"/>
          <w:szCs w:val="28"/>
        </w:rPr>
        <w:t>截至202</w:t>
      </w:r>
      <w:r>
        <w:rPr>
          <w:rFonts w:hint="eastAsia" w:ascii="宋体" w:hAnsi="宋体"/>
          <w:sz w:val="28"/>
          <w:szCs w:val="28"/>
          <w:lang w:val="en-US" w:eastAsia="zh-CN"/>
        </w:rPr>
        <w:t>4</w:t>
      </w:r>
      <w:r>
        <w:rPr>
          <w:rFonts w:hint="eastAsia" w:ascii="宋体" w:hAnsi="宋体"/>
          <w:sz w:val="28"/>
          <w:szCs w:val="28"/>
        </w:rPr>
        <w:t>年12月31日，</w:t>
      </w:r>
      <w:r>
        <w:rPr>
          <w:rFonts w:hint="eastAsia" w:ascii="宋体" w:hAnsi="宋体"/>
          <w:bCs/>
          <w:color w:val="000000"/>
          <w:sz w:val="28"/>
          <w:szCs w:val="28"/>
        </w:rPr>
        <w:t>大冶市</w:t>
      </w:r>
      <w:r>
        <w:rPr>
          <w:rFonts w:hint="eastAsia" w:ascii="宋体" w:hAnsi="宋体"/>
          <w:bCs/>
          <w:color w:val="000000"/>
          <w:sz w:val="28"/>
          <w:szCs w:val="28"/>
          <w:lang w:val="en-US" w:eastAsia="zh-CN"/>
        </w:rPr>
        <w:t>灵乡镇党群服务中心</w:t>
      </w:r>
      <w:r>
        <w:rPr>
          <w:rFonts w:hint="eastAsia" w:ascii="宋体" w:hAnsi="宋体" w:cs="仿宋_GB2312"/>
          <w:sz w:val="28"/>
          <w:szCs w:val="28"/>
          <w:lang w:val="en-US" w:eastAsia="zh-CN"/>
        </w:rPr>
        <w:t>所</w:t>
      </w:r>
      <w:r>
        <w:rPr>
          <w:rFonts w:hint="eastAsia" w:ascii="宋体" w:hAnsi="宋体"/>
          <w:sz w:val="28"/>
          <w:szCs w:val="28"/>
        </w:rPr>
        <w:t>共有车辆</w:t>
      </w:r>
      <w:r>
        <w:rPr>
          <w:rFonts w:hint="eastAsia" w:ascii="宋体" w:hAnsi="宋体"/>
          <w:sz w:val="28"/>
          <w:szCs w:val="28"/>
          <w:lang w:val="en-US" w:eastAsia="zh-CN"/>
        </w:rPr>
        <w:t>0</w:t>
      </w:r>
      <w:r>
        <w:rPr>
          <w:rFonts w:hint="eastAsia" w:ascii="宋体" w:hAnsi="宋体"/>
          <w:sz w:val="28"/>
          <w:szCs w:val="28"/>
        </w:rPr>
        <w:t>辆，其中，副省级及以上领导干部用车</w:t>
      </w:r>
      <w:r>
        <w:rPr>
          <w:rFonts w:hint="eastAsia" w:ascii="宋体" w:hAnsi="宋体"/>
          <w:sz w:val="28"/>
          <w:szCs w:val="28"/>
          <w:lang w:val="en-US" w:eastAsia="zh-CN"/>
        </w:rPr>
        <w:t>0</w:t>
      </w:r>
      <w:r>
        <w:rPr>
          <w:rFonts w:hint="eastAsia" w:ascii="宋体" w:hAnsi="宋体"/>
          <w:sz w:val="28"/>
          <w:szCs w:val="28"/>
        </w:rPr>
        <w:t>辆、主要领导干部用车</w:t>
      </w:r>
      <w:r>
        <w:rPr>
          <w:rFonts w:hint="eastAsia" w:ascii="宋体" w:hAnsi="宋体"/>
          <w:sz w:val="28"/>
          <w:szCs w:val="28"/>
          <w:lang w:val="en-US" w:eastAsia="zh-CN"/>
        </w:rPr>
        <w:t>0</w:t>
      </w:r>
      <w:r>
        <w:rPr>
          <w:rFonts w:hint="eastAsia" w:ascii="宋体" w:hAnsi="宋体"/>
          <w:sz w:val="28"/>
          <w:szCs w:val="28"/>
        </w:rPr>
        <w:t>辆、机要通信用车</w:t>
      </w:r>
      <w:r>
        <w:rPr>
          <w:rFonts w:hint="eastAsia" w:ascii="宋体" w:hAnsi="宋体"/>
          <w:sz w:val="28"/>
          <w:szCs w:val="28"/>
          <w:lang w:val="en-US" w:eastAsia="zh-CN"/>
        </w:rPr>
        <w:t>0</w:t>
      </w:r>
      <w:r>
        <w:rPr>
          <w:rFonts w:hint="eastAsia" w:ascii="宋体" w:hAnsi="宋体"/>
          <w:sz w:val="28"/>
          <w:szCs w:val="28"/>
        </w:rPr>
        <w:t>辆、应急保障用车</w:t>
      </w:r>
      <w:r>
        <w:rPr>
          <w:rFonts w:hint="eastAsia" w:ascii="宋体" w:hAnsi="宋体"/>
          <w:sz w:val="28"/>
          <w:szCs w:val="28"/>
          <w:lang w:val="en-US" w:eastAsia="zh-CN"/>
        </w:rPr>
        <w:t>0</w:t>
      </w:r>
      <w:r>
        <w:rPr>
          <w:rFonts w:hint="eastAsia" w:ascii="宋体" w:hAnsi="宋体"/>
          <w:sz w:val="28"/>
          <w:szCs w:val="28"/>
        </w:rPr>
        <w:t>辆、执法执勤用车</w:t>
      </w:r>
      <w:r>
        <w:rPr>
          <w:rFonts w:hint="eastAsia" w:ascii="宋体" w:hAnsi="宋体"/>
          <w:sz w:val="28"/>
          <w:szCs w:val="28"/>
          <w:lang w:val="en-US" w:eastAsia="zh-CN"/>
        </w:rPr>
        <w:t>0</w:t>
      </w:r>
      <w:r>
        <w:rPr>
          <w:rFonts w:hint="eastAsia" w:ascii="宋体" w:hAnsi="宋体"/>
          <w:sz w:val="28"/>
          <w:szCs w:val="28"/>
        </w:rPr>
        <w:t>辆、特种专业技术用车</w:t>
      </w:r>
      <w:r>
        <w:rPr>
          <w:rFonts w:hint="eastAsia" w:ascii="宋体" w:hAnsi="宋体"/>
          <w:sz w:val="28"/>
          <w:szCs w:val="28"/>
          <w:lang w:val="en-US" w:eastAsia="zh-CN"/>
        </w:rPr>
        <w:t>0</w:t>
      </w:r>
      <w:r>
        <w:rPr>
          <w:rFonts w:hint="eastAsia" w:ascii="宋体" w:hAnsi="宋体"/>
          <w:sz w:val="28"/>
          <w:szCs w:val="28"/>
        </w:rPr>
        <w:t>辆、其他用车</w:t>
      </w:r>
      <w:r>
        <w:rPr>
          <w:rFonts w:hint="eastAsia" w:ascii="宋体" w:hAnsi="宋体"/>
          <w:sz w:val="28"/>
          <w:szCs w:val="28"/>
          <w:lang w:val="en-US" w:eastAsia="zh-CN"/>
        </w:rPr>
        <w:t>0</w:t>
      </w:r>
      <w:r>
        <w:rPr>
          <w:rFonts w:hint="eastAsia" w:ascii="宋体" w:hAnsi="宋体"/>
          <w:sz w:val="28"/>
          <w:szCs w:val="28"/>
        </w:rPr>
        <w:t>辆，其他用车主要是用于</w:t>
      </w:r>
      <w:r>
        <w:rPr>
          <w:rFonts w:hint="eastAsia" w:ascii="宋体" w:hAnsi="宋体"/>
          <w:sz w:val="28"/>
          <w:szCs w:val="28"/>
          <w:lang w:val="en-US" w:eastAsia="zh-CN"/>
        </w:rPr>
        <w:t>无</w:t>
      </w:r>
      <w:r>
        <w:rPr>
          <w:rFonts w:hint="eastAsia" w:ascii="宋体" w:hAnsi="宋体"/>
          <w:sz w:val="28"/>
          <w:szCs w:val="28"/>
        </w:rPr>
        <w:t>。单位价值50万元以上通用设备</w:t>
      </w:r>
      <w:r>
        <w:rPr>
          <w:rFonts w:hint="eastAsia" w:ascii="宋体" w:hAnsi="宋体"/>
          <w:sz w:val="28"/>
          <w:szCs w:val="28"/>
          <w:lang w:val="en-US" w:eastAsia="zh-CN"/>
        </w:rPr>
        <w:t>0</w:t>
      </w:r>
      <w:r>
        <w:rPr>
          <w:rFonts w:hint="eastAsia" w:ascii="宋体" w:hAnsi="宋体"/>
          <w:sz w:val="28"/>
          <w:szCs w:val="28"/>
        </w:rPr>
        <w:t>台（套），单位价值100万元（含）以上的专用设备</w:t>
      </w:r>
      <w:r>
        <w:rPr>
          <w:rFonts w:hint="eastAsia" w:ascii="宋体" w:hAnsi="宋体"/>
          <w:sz w:val="28"/>
          <w:szCs w:val="28"/>
          <w:lang w:val="en-US" w:eastAsia="zh-CN"/>
        </w:rPr>
        <w:t>0</w:t>
      </w:r>
      <w:r>
        <w:rPr>
          <w:rFonts w:hint="eastAsia" w:ascii="宋体" w:hAnsi="宋体"/>
          <w:sz w:val="28"/>
          <w:szCs w:val="28"/>
        </w:rPr>
        <w:t>台（套）。</w:t>
      </w:r>
    </w:p>
    <w:p>
      <w:pPr>
        <w:ind w:firstLine="560" w:firstLineChars="200"/>
        <w:rPr>
          <w:rFonts w:hint="eastAsia" w:ascii="宋体" w:hAnsi="宋体"/>
          <w:sz w:val="28"/>
          <w:szCs w:val="28"/>
        </w:rPr>
      </w:pPr>
      <w:r>
        <w:rPr>
          <w:rFonts w:hint="eastAsia" w:ascii="宋体" w:hAnsi="宋体"/>
          <w:sz w:val="28"/>
          <w:szCs w:val="28"/>
        </w:rPr>
        <w:t>十三、预算绩效情况说明</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我单位无绩效项目。</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十四、专项支出、转移支付支出情况说明</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我</w:t>
      </w:r>
      <w:r>
        <w:rPr>
          <w:rFonts w:hint="eastAsia" w:ascii="宋体" w:hAnsi="宋体" w:eastAsia="宋体" w:cs="Times New Roman"/>
          <w:sz w:val="28"/>
          <w:szCs w:val="28"/>
          <w:lang w:val="en-US" w:eastAsia="zh-CN"/>
        </w:rPr>
        <w:t>单位无此项内容</w:t>
      </w:r>
      <w:r>
        <w:rPr>
          <w:rFonts w:hint="eastAsia" w:ascii="宋体" w:hAnsi="宋体" w:eastAsia="宋体" w:cs="Times New Roman"/>
          <w:sz w:val="28"/>
          <w:szCs w:val="28"/>
          <w:lang w:eastAsia="zh-CN"/>
        </w:rPr>
        <w:t>。</w:t>
      </w:r>
    </w:p>
    <w:p>
      <w:pPr>
        <w:ind w:firstLine="562" w:firstLineChars="200"/>
        <w:rPr>
          <w:rFonts w:hint="eastAsia" w:ascii="宋体" w:hAnsi="宋体"/>
          <w:b/>
          <w:sz w:val="28"/>
          <w:szCs w:val="28"/>
        </w:rPr>
      </w:pPr>
      <w:r>
        <w:rPr>
          <w:rFonts w:hint="eastAsia" w:ascii="宋体" w:hAnsi="宋体"/>
          <w:b/>
          <w:sz w:val="28"/>
          <w:szCs w:val="28"/>
        </w:rPr>
        <w:t>第四部分：其他需要说明的情况</w:t>
      </w:r>
    </w:p>
    <w:p>
      <w:pPr>
        <w:pStyle w:val="3"/>
        <w:spacing w:before="0" w:beforeAutospacing="0" w:after="0" w:afterAutospacing="0"/>
        <w:ind w:firstLine="560" w:firstLineChars="200"/>
        <w:jc w:val="both"/>
        <w:rPr>
          <w:rFonts w:hint="eastAsia" w:cs="Times New Roman"/>
          <w:kern w:val="2"/>
          <w:sz w:val="28"/>
          <w:szCs w:val="28"/>
          <w:highlight w:val="yellow"/>
        </w:rPr>
      </w:pPr>
      <w:r>
        <w:rPr>
          <w:rFonts w:hint="eastAsia" w:ascii="宋体" w:hAnsi="宋体"/>
          <w:sz w:val="28"/>
          <w:szCs w:val="28"/>
        </w:rPr>
        <w:t>我单位无其他需要说明的事项。</w:t>
      </w:r>
    </w:p>
    <w:p>
      <w:pPr>
        <w:ind w:left="640"/>
        <w:rPr>
          <w:rFonts w:hint="eastAsia" w:ascii="宋体" w:hAnsi="宋体"/>
          <w:b/>
          <w:sz w:val="28"/>
          <w:szCs w:val="28"/>
        </w:rPr>
      </w:pPr>
      <w:r>
        <w:rPr>
          <w:rFonts w:hint="eastAsia" w:ascii="宋体" w:hAnsi="宋体"/>
          <w:b/>
          <w:sz w:val="28"/>
          <w:szCs w:val="28"/>
        </w:rPr>
        <w:t>第五部分：名词解释</w:t>
      </w:r>
    </w:p>
    <w:p>
      <w:pPr>
        <w:pStyle w:val="6"/>
        <w:ind w:firstLine="584" w:firstLineChars="200"/>
        <w:rPr>
          <w:rFonts w:hint="eastAsia" w:ascii="宋体" w:hAnsi="宋体"/>
          <w:kern w:val="44"/>
          <w:sz w:val="28"/>
          <w:szCs w:val="28"/>
        </w:rPr>
      </w:pPr>
      <w:r>
        <w:rPr>
          <w:rFonts w:hint="eastAsia" w:ascii="宋体" w:hAnsi="宋体"/>
          <w:spacing w:val="6"/>
          <w:sz w:val="28"/>
          <w:szCs w:val="28"/>
        </w:rPr>
        <w:t>一、一般公共预算</w:t>
      </w:r>
      <w:r>
        <w:rPr>
          <w:rFonts w:hint="eastAsia" w:ascii="宋体" w:hAnsi="宋体"/>
          <w:kern w:val="44"/>
          <w:sz w:val="28"/>
          <w:szCs w:val="28"/>
        </w:rPr>
        <w:t>财政拨款收入：指市级财政</w:t>
      </w:r>
      <w:r>
        <w:rPr>
          <w:rFonts w:hint="eastAsia" w:ascii="宋体" w:hAnsi="宋体"/>
          <w:spacing w:val="6"/>
          <w:sz w:val="28"/>
          <w:szCs w:val="28"/>
        </w:rPr>
        <w:t>一般公共预算</w:t>
      </w:r>
      <w:r>
        <w:rPr>
          <w:rFonts w:hint="eastAsia" w:ascii="宋体" w:hAnsi="宋体"/>
          <w:kern w:val="44"/>
          <w:sz w:val="28"/>
          <w:szCs w:val="28"/>
        </w:rPr>
        <w:t>当年拨付的资金。</w:t>
      </w:r>
    </w:p>
    <w:p>
      <w:pPr>
        <w:pStyle w:val="6"/>
        <w:ind w:firstLine="560" w:firstLineChars="200"/>
        <w:rPr>
          <w:rFonts w:hint="eastAsia" w:ascii="宋体" w:hAnsi="宋体"/>
          <w:sz w:val="28"/>
          <w:szCs w:val="28"/>
        </w:rPr>
      </w:pPr>
      <w:r>
        <w:rPr>
          <w:rFonts w:hint="eastAsia" w:ascii="宋体" w:hAnsi="宋体"/>
          <w:sz w:val="28"/>
          <w:szCs w:val="28"/>
        </w:rPr>
        <w:t>二、政府性基金</w:t>
      </w:r>
      <w:r>
        <w:rPr>
          <w:rFonts w:hint="eastAsia" w:ascii="宋体" w:hAnsi="宋体"/>
          <w:spacing w:val="6"/>
          <w:sz w:val="28"/>
          <w:szCs w:val="28"/>
        </w:rPr>
        <w:t>预算</w:t>
      </w:r>
      <w:r>
        <w:rPr>
          <w:rFonts w:hint="eastAsia" w:ascii="宋体" w:hAnsi="宋体"/>
          <w:kern w:val="44"/>
          <w:sz w:val="28"/>
          <w:szCs w:val="28"/>
        </w:rPr>
        <w:t>财政拨款收入：指市级财政</w:t>
      </w:r>
      <w:r>
        <w:rPr>
          <w:rFonts w:hint="eastAsia" w:ascii="宋体" w:hAnsi="宋体"/>
          <w:sz w:val="28"/>
          <w:szCs w:val="28"/>
        </w:rPr>
        <w:t>政府性基金</w:t>
      </w:r>
      <w:r>
        <w:rPr>
          <w:rFonts w:hint="eastAsia" w:ascii="宋体" w:hAnsi="宋体"/>
          <w:spacing w:val="6"/>
          <w:sz w:val="28"/>
          <w:szCs w:val="28"/>
        </w:rPr>
        <w:t>预算</w:t>
      </w:r>
      <w:r>
        <w:rPr>
          <w:rFonts w:hint="eastAsia" w:ascii="宋体" w:hAnsi="宋体"/>
          <w:kern w:val="44"/>
          <w:sz w:val="28"/>
          <w:szCs w:val="28"/>
        </w:rPr>
        <w:t>当年拨付的资金。</w:t>
      </w:r>
    </w:p>
    <w:p>
      <w:pPr>
        <w:pStyle w:val="6"/>
        <w:ind w:firstLine="560" w:firstLineChars="200"/>
        <w:rPr>
          <w:rFonts w:hint="eastAsia" w:ascii="宋体" w:hAnsi="宋体"/>
          <w:sz w:val="28"/>
          <w:szCs w:val="28"/>
        </w:rPr>
      </w:pPr>
      <w:r>
        <w:rPr>
          <w:rFonts w:hint="eastAsia" w:ascii="宋体" w:hAnsi="宋体"/>
          <w:kern w:val="44"/>
          <w:sz w:val="28"/>
          <w:szCs w:val="28"/>
        </w:rPr>
        <w:t>三、国有资本经营预算财政拨款收入：指市级财政国有资本经营预算当年拨付的资金。</w:t>
      </w:r>
    </w:p>
    <w:p>
      <w:pPr>
        <w:pStyle w:val="6"/>
        <w:ind w:firstLine="560" w:firstLineChars="200"/>
        <w:rPr>
          <w:rFonts w:hint="eastAsia" w:ascii="宋体" w:hAnsi="宋体"/>
          <w:sz w:val="28"/>
          <w:szCs w:val="28"/>
        </w:rPr>
      </w:pPr>
      <w:r>
        <w:rPr>
          <w:rFonts w:hint="eastAsia" w:ascii="宋体" w:hAnsi="宋体"/>
          <w:kern w:val="44"/>
          <w:sz w:val="28"/>
          <w:szCs w:val="28"/>
        </w:rPr>
        <w:t>四、上级补助收入：指从</w:t>
      </w:r>
      <w:r>
        <w:rPr>
          <w:rFonts w:hint="eastAsia" w:ascii="宋体" w:hAnsi="宋体"/>
          <w:sz w:val="28"/>
          <w:szCs w:val="28"/>
        </w:rPr>
        <w:t>事业单位</w:t>
      </w:r>
      <w:r>
        <w:rPr>
          <w:rFonts w:hint="eastAsia" w:ascii="宋体" w:hAnsi="宋体"/>
          <w:kern w:val="44"/>
          <w:sz w:val="28"/>
          <w:szCs w:val="28"/>
        </w:rPr>
        <w:t>主管部门和上级单位取得的非财政补助收入。</w:t>
      </w:r>
    </w:p>
    <w:p>
      <w:pPr>
        <w:pStyle w:val="6"/>
        <w:ind w:firstLine="560" w:firstLineChars="200"/>
        <w:rPr>
          <w:rFonts w:hint="eastAsia" w:ascii="宋体" w:hAnsi="宋体"/>
          <w:sz w:val="28"/>
          <w:szCs w:val="28"/>
        </w:rPr>
      </w:pPr>
      <w:r>
        <w:rPr>
          <w:rFonts w:hint="eastAsia" w:ascii="宋体" w:hAnsi="宋体"/>
          <w:sz w:val="28"/>
          <w:szCs w:val="28"/>
        </w:rPr>
        <w:t>五、事业收入：指事业单位开展专业活动用辅助活动所取得的收入。</w:t>
      </w:r>
    </w:p>
    <w:p>
      <w:pPr>
        <w:pStyle w:val="6"/>
        <w:ind w:firstLine="560" w:firstLineChars="200"/>
        <w:rPr>
          <w:rFonts w:hint="eastAsia" w:ascii="宋体" w:hAnsi="宋体"/>
          <w:sz w:val="28"/>
          <w:szCs w:val="28"/>
        </w:rPr>
      </w:pPr>
      <w:r>
        <w:rPr>
          <w:rFonts w:hint="eastAsia" w:ascii="宋体" w:hAnsi="宋体"/>
          <w:sz w:val="28"/>
          <w:szCs w:val="28"/>
        </w:rPr>
        <w:t>六、经营收入：指事业单位在专业业务活动及辅助活动之外开展非独立核算经营活动取得的收入。</w:t>
      </w:r>
    </w:p>
    <w:p>
      <w:pPr>
        <w:pStyle w:val="6"/>
        <w:ind w:firstLine="560" w:firstLineChars="200"/>
        <w:rPr>
          <w:rFonts w:hint="eastAsia" w:ascii="宋体" w:hAnsi="宋体"/>
          <w:sz w:val="28"/>
          <w:szCs w:val="28"/>
        </w:rPr>
      </w:pPr>
      <w:r>
        <w:rPr>
          <w:rFonts w:hint="eastAsia" w:ascii="宋体" w:hAnsi="宋体"/>
          <w:kern w:val="44"/>
          <w:sz w:val="28"/>
          <w:szCs w:val="28"/>
        </w:rPr>
        <w:t>七、其他收入：指</w:t>
      </w:r>
      <w:r>
        <w:rPr>
          <w:rFonts w:hint="eastAsia" w:ascii="宋体" w:hAnsi="宋体"/>
          <w:sz w:val="28"/>
          <w:szCs w:val="28"/>
        </w:rPr>
        <w:t>单位取得的除上述“一般公共预算财政拨款收入”、“政府性基金</w:t>
      </w:r>
      <w:r>
        <w:rPr>
          <w:rFonts w:hint="eastAsia" w:ascii="宋体" w:hAnsi="宋体"/>
          <w:spacing w:val="6"/>
          <w:sz w:val="28"/>
          <w:szCs w:val="28"/>
        </w:rPr>
        <w:t>预算</w:t>
      </w:r>
      <w:r>
        <w:rPr>
          <w:rFonts w:hint="eastAsia" w:ascii="宋体" w:hAnsi="宋体"/>
          <w:kern w:val="44"/>
          <w:sz w:val="28"/>
          <w:szCs w:val="28"/>
        </w:rPr>
        <w:t>财政拨款收入</w:t>
      </w:r>
      <w:r>
        <w:rPr>
          <w:rFonts w:hint="eastAsia" w:ascii="宋体" w:hAnsi="宋体"/>
          <w:sz w:val="28"/>
          <w:szCs w:val="28"/>
        </w:rPr>
        <w:t>”、“</w:t>
      </w:r>
      <w:r>
        <w:rPr>
          <w:rFonts w:hint="eastAsia" w:ascii="宋体" w:hAnsi="宋体"/>
          <w:kern w:val="44"/>
          <w:sz w:val="28"/>
          <w:szCs w:val="28"/>
        </w:rPr>
        <w:t>国有资本经营预算财政拨款收入</w:t>
      </w:r>
      <w:r>
        <w:rPr>
          <w:rFonts w:hint="eastAsia" w:ascii="宋体" w:hAnsi="宋体"/>
          <w:sz w:val="28"/>
          <w:szCs w:val="28"/>
        </w:rPr>
        <w:t>”、“</w:t>
      </w:r>
      <w:r>
        <w:rPr>
          <w:rFonts w:hint="eastAsia" w:ascii="宋体" w:hAnsi="宋体"/>
          <w:kern w:val="44"/>
          <w:sz w:val="28"/>
          <w:szCs w:val="28"/>
        </w:rPr>
        <w:t>上级补助收入</w:t>
      </w:r>
      <w:r>
        <w:rPr>
          <w:rFonts w:hint="eastAsia" w:ascii="宋体" w:hAnsi="宋体"/>
          <w:sz w:val="28"/>
          <w:szCs w:val="28"/>
        </w:rPr>
        <w:t>”、“事业收入”、“经营收入”等收入以外的各项收入。</w:t>
      </w:r>
    </w:p>
    <w:p>
      <w:pPr>
        <w:pStyle w:val="6"/>
        <w:ind w:firstLine="560" w:firstLineChars="200"/>
        <w:rPr>
          <w:rFonts w:hint="eastAsia" w:ascii="宋体" w:hAnsi="宋体"/>
          <w:color w:val="000000"/>
          <w:sz w:val="28"/>
          <w:szCs w:val="28"/>
        </w:rPr>
      </w:pPr>
      <w:r>
        <w:rPr>
          <w:rFonts w:hint="eastAsia" w:ascii="宋体" w:hAnsi="宋体"/>
          <w:kern w:val="44"/>
          <w:sz w:val="28"/>
          <w:szCs w:val="28"/>
        </w:rPr>
        <w:t>八、使用非财政拨款结余：</w:t>
      </w:r>
      <w:r>
        <w:rPr>
          <w:rFonts w:hint="eastAsia" w:ascii="宋体" w:hAnsi="宋体"/>
          <w:color w:val="000000"/>
          <w:sz w:val="28"/>
          <w:szCs w:val="28"/>
        </w:rPr>
        <w:t>指事业单位使用以前年度积累的非财政拨款结余弥补当年收支差额的金额。</w:t>
      </w:r>
    </w:p>
    <w:p>
      <w:pPr>
        <w:pStyle w:val="6"/>
        <w:ind w:firstLine="560" w:firstLineChars="200"/>
        <w:rPr>
          <w:rFonts w:hint="eastAsia" w:ascii="宋体" w:hAnsi="宋体"/>
          <w:color w:val="000000"/>
          <w:sz w:val="28"/>
          <w:szCs w:val="28"/>
        </w:rPr>
      </w:pPr>
      <w:r>
        <w:rPr>
          <w:rFonts w:hint="eastAsia" w:ascii="宋体" w:hAnsi="宋体"/>
          <w:kern w:val="44"/>
          <w:sz w:val="28"/>
          <w:szCs w:val="28"/>
        </w:rPr>
        <w:t>九、年初结转和结余：</w:t>
      </w:r>
      <w:r>
        <w:rPr>
          <w:rFonts w:hint="eastAsia" w:ascii="宋体" w:hAnsi="宋体"/>
          <w:color w:val="000000"/>
          <w:sz w:val="28"/>
          <w:szCs w:val="28"/>
        </w:rPr>
        <w:t>指单位以前年度尚未完成、结转到本年仍按原规定用途继续使用的资金，或项目已完成等产生的结余资金。</w:t>
      </w:r>
    </w:p>
    <w:p>
      <w:pPr>
        <w:pStyle w:val="6"/>
        <w:ind w:firstLine="560" w:firstLineChars="200"/>
        <w:rPr>
          <w:rFonts w:hint="eastAsia" w:ascii="宋体" w:hAnsi="宋体"/>
          <w:sz w:val="28"/>
          <w:szCs w:val="28"/>
        </w:rPr>
      </w:pPr>
      <w:r>
        <w:rPr>
          <w:rFonts w:hint="eastAsia" w:ascii="宋体" w:hAnsi="宋体"/>
          <w:sz w:val="28"/>
          <w:szCs w:val="28"/>
        </w:rPr>
        <w:t>十、结余分配：指事业单位按规定提取的职工福利基金、事业基金和缴纳的所得税，以及建设单位按规定应交回的基本建设竣工项目结余资金。</w:t>
      </w:r>
    </w:p>
    <w:p>
      <w:pPr>
        <w:pStyle w:val="6"/>
        <w:ind w:firstLine="560" w:firstLineChars="200"/>
        <w:rPr>
          <w:rFonts w:hint="eastAsia" w:ascii="宋体" w:hAnsi="宋体"/>
          <w:sz w:val="28"/>
          <w:szCs w:val="28"/>
        </w:rPr>
      </w:pPr>
      <w:r>
        <w:rPr>
          <w:rFonts w:hint="eastAsia" w:ascii="宋体" w:hAnsi="宋体"/>
          <w:sz w:val="28"/>
          <w:szCs w:val="28"/>
        </w:rPr>
        <w:t>十一、年末结转和结余：指本年度或以前年度预算安排、因客观条件发生变化无法按原计划实施，需延迟到以后年度按有关规定继续使用的资金。</w:t>
      </w:r>
    </w:p>
    <w:p>
      <w:pPr>
        <w:pStyle w:val="6"/>
        <w:ind w:firstLine="560" w:firstLineChars="200"/>
        <w:rPr>
          <w:rFonts w:hint="eastAsia" w:ascii="宋体" w:hAnsi="宋体"/>
          <w:sz w:val="28"/>
          <w:szCs w:val="28"/>
        </w:rPr>
      </w:pPr>
      <w:r>
        <w:rPr>
          <w:rFonts w:hint="eastAsia" w:ascii="宋体" w:hAnsi="宋体"/>
          <w:sz w:val="28"/>
          <w:szCs w:val="28"/>
        </w:rPr>
        <w:t>十二、基本支出：指为保障机构正常运转、完成日常工作任务而发生的人员支出和公用支出。</w:t>
      </w:r>
    </w:p>
    <w:p>
      <w:pPr>
        <w:pStyle w:val="6"/>
        <w:ind w:firstLine="560" w:firstLineChars="200"/>
        <w:rPr>
          <w:rFonts w:hint="eastAsia" w:ascii="宋体" w:hAnsi="宋体"/>
          <w:sz w:val="28"/>
          <w:szCs w:val="28"/>
        </w:rPr>
      </w:pPr>
      <w:r>
        <w:rPr>
          <w:rFonts w:hint="eastAsia" w:ascii="宋体" w:hAnsi="宋体"/>
          <w:sz w:val="28"/>
          <w:szCs w:val="28"/>
        </w:rPr>
        <w:t>十三、项目支出：指在基本支出之外为完成特定行政任务和事业发展目标所发生的支出。</w:t>
      </w:r>
    </w:p>
    <w:p>
      <w:pPr>
        <w:pStyle w:val="6"/>
        <w:ind w:firstLine="560" w:firstLineChars="200"/>
        <w:rPr>
          <w:rFonts w:hint="eastAsia" w:ascii="宋体" w:hAnsi="宋体"/>
          <w:sz w:val="28"/>
          <w:szCs w:val="28"/>
        </w:rPr>
      </w:pPr>
      <w:r>
        <w:rPr>
          <w:rFonts w:hint="eastAsia" w:ascii="宋体" w:hAnsi="宋体"/>
          <w:sz w:val="28"/>
          <w:szCs w:val="28"/>
        </w:rPr>
        <w:t>十四、经营支出：指事业单位在专业业务活动及其辅助活动之外开展非独立核算经营活动发生的支出。</w:t>
      </w:r>
    </w:p>
    <w:p>
      <w:pPr>
        <w:pStyle w:val="6"/>
        <w:ind w:firstLine="560" w:firstLineChars="200"/>
        <w:rPr>
          <w:rFonts w:hint="eastAsia" w:ascii="宋体" w:hAnsi="宋体"/>
          <w:sz w:val="28"/>
          <w:szCs w:val="28"/>
        </w:rPr>
      </w:pPr>
      <w:r>
        <w:rPr>
          <w:rFonts w:hint="eastAsia" w:ascii="宋体" w:hAnsi="宋体"/>
          <w:sz w:val="28"/>
          <w:szCs w:val="28"/>
        </w:rPr>
        <w:t>十五、“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6"/>
        <w:ind w:firstLine="560" w:firstLineChars="200"/>
        <w:rPr>
          <w:rFonts w:hint="eastAsia" w:ascii="宋体" w:hAnsi="宋体"/>
          <w:sz w:val="28"/>
          <w:szCs w:val="28"/>
        </w:rPr>
      </w:pPr>
      <w:r>
        <w:rPr>
          <w:rFonts w:hint="eastAsia" w:ascii="宋体" w:hAnsi="宋体"/>
          <w:sz w:val="28"/>
          <w:szCs w:val="28"/>
        </w:rPr>
        <w:t>十六、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pStyle w:val="6"/>
        <w:ind w:firstLine="560" w:firstLineChars="200"/>
        <w:rPr>
          <w:rFonts w:hint="eastAsia" w:ascii="宋体" w:hAnsi="宋体"/>
          <w:sz w:val="28"/>
          <w:szCs w:val="28"/>
        </w:rPr>
      </w:pPr>
      <w:r>
        <w:rPr>
          <w:rFonts w:hint="eastAsia" w:ascii="宋体" w:hAnsi="宋体"/>
          <w:sz w:val="28"/>
          <w:szCs w:val="28"/>
        </w:rPr>
        <w:t>十七、使用的支出功能分类科目</w:t>
      </w:r>
    </w:p>
    <w:p>
      <w:pPr>
        <w:pStyle w:val="6"/>
        <w:ind w:firstLine="560" w:firstLineChars="200"/>
        <w:rPr>
          <w:rFonts w:hint="eastAsia" w:ascii="宋体" w:hAnsi="宋体"/>
          <w:sz w:val="28"/>
          <w:szCs w:val="28"/>
        </w:rPr>
      </w:pPr>
      <w:r>
        <w:rPr>
          <w:rFonts w:hint="eastAsia" w:ascii="宋体" w:hAnsi="宋体"/>
          <w:kern w:val="44"/>
          <w:sz w:val="28"/>
          <w:szCs w:val="28"/>
          <w:lang w:val="en-US" w:eastAsia="zh-CN"/>
        </w:rPr>
        <w:t>1</w:t>
      </w:r>
      <w:r>
        <w:rPr>
          <w:rFonts w:hint="eastAsia" w:ascii="宋体" w:hAnsi="宋体"/>
          <w:kern w:val="44"/>
          <w:sz w:val="28"/>
          <w:szCs w:val="28"/>
        </w:rPr>
        <w:t>.</w:t>
      </w:r>
      <w:r>
        <w:rPr>
          <w:rFonts w:hint="eastAsia" w:ascii="宋体" w:hAnsi="宋体"/>
          <w:sz w:val="28"/>
          <w:szCs w:val="28"/>
        </w:rPr>
        <w:t>一般公共服务支出(类)政府办公厅（室）及相关机构事务(款)其他政府办公厅（室）及相关机构事务支出(项)：</w:t>
      </w:r>
      <w:r>
        <w:rPr>
          <w:rFonts w:hint="eastAsia" w:ascii="宋体" w:hAnsi="宋体"/>
          <w:sz w:val="28"/>
          <w:szCs w:val="28"/>
          <w:lang w:val="en-US" w:eastAsia="zh-CN"/>
        </w:rPr>
        <w:t>反映除上述项目以外的其他政府办公厅（室）及相关机构事务支出</w:t>
      </w:r>
      <w:r>
        <w:rPr>
          <w:rFonts w:hint="eastAsia" w:ascii="宋体" w:hAnsi="宋体"/>
          <w:sz w:val="28"/>
          <w:szCs w:val="28"/>
          <w:lang w:eastAsia="zh-CN"/>
        </w:rPr>
        <w:t>。</w:t>
      </w:r>
    </w:p>
    <w:p>
      <w:pPr>
        <w:pStyle w:val="7"/>
        <w:ind w:firstLine="562" w:firstLineChars="200"/>
        <w:rPr>
          <w:rFonts w:hint="eastAsia" w:ascii="宋体" w:hAnsi="宋体" w:eastAsia="宋体" w:cs="黑体"/>
          <w:b/>
          <w:sz w:val="28"/>
          <w:szCs w:val="28"/>
        </w:rPr>
      </w:pPr>
      <w:r>
        <w:rPr>
          <w:rFonts w:hint="eastAsia" w:ascii="宋体" w:hAnsi="宋体" w:eastAsia="宋体" w:cs="黑体"/>
          <w:b/>
          <w:sz w:val="28"/>
          <w:szCs w:val="28"/>
        </w:rPr>
        <w:t>第六部分  附件</w:t>
      </w:r>
    </w:p>
    <w:p>
      <w:pPr>
        <w:pStyle w:val="7"/>
        <w:ind w:firstLine="560" w:firstLineChars="200"/>
        <w:rPr>
          <w:rFonts w:hint="eastAsia" w:ascii="宋体" w:hAnsi="宋体"/>
          <w:bCs/>
          <w:sz w:val="32"/>
          <w:szCs w:val="32"/>
        </w:rPr>
      </w:pPr>
      <w:r>
        <w:rPr>
          <w:rFonts w:hint="eastAsia" w:ascii="宋体" w:hAnsi="宋体" w:eastAsia="宋体" w:cs="Times New Roman"/>
          <w:kern w:val="2"/>
          <w:sz w:val="28"/>
          <w:szCs w:val="28"/>
          <w:lang w:val="en-US" w:eastAsia="zh-CN" w:bidi="ar-SA"/>
        </w:rPr>
        <w:t>无</w:t>
      </w:r>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5AAC0"/>
    <w:multiLevelType w:val="singleLevel"/>
    <w:tmpl w:val="0D75AA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ZmI0ZmJkNDdkMGY5ZmNhNDI3ZTIwNTAxMTZhMDcifQ=="/>
  </w:docVars>
  <w:rsids>
    <w:rsidRoot w:val="00000000"/>
    <w:rsid w:val="0EC406A2"/>
    <w:rsid w:val="2E4550CD"/>
    <w:rsid w:val="7AA6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32"/>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7">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7186</Words>
  <Characters>8124</Characters>
  <Lines>0</Lines>
  <Paragraphs>0</Paragraphs>
  <TotalTime>3</TotalTime>
  <ScaleCrop>false</ScaleCrop>
  <LinksUpToDate>false</LinksUpToDate>
  <CharactersWithSpaces>8723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2025-09-15T02:28:00Z</dcterms:created>
  <dc:creator>admin</dc:creator>
  <cp:lastModifiedBy>吉置肪</cp:lastModifiedBy>
  <dcterms:modified xsi:type="dcterms:W3CDTF">2025-09-16T11:33:42Z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B5C36C2D74B24BB1AA214AC5B308CFCC</vt:lpwstr>
  </property>
</Properties>
</file>