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金牛镇2022年度政务信息公开工作报告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，金牛镇政府紧紧围绕市委、市政府的重大决策部署和公众关切，进一步强化政务信息公开工作，扩大公开范围，细化公开要求，增强公开实效，确保政府信息公开工作真正落到实处。现将我镇2022年度政务信息公开工作报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一、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工作开展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楷体_GB2312" w:hAnsi="微软雅黑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（一）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强化</w:t>
      </w:r>
      <w:r>
        <w:rPr>
          <w:rFonts w:ascii="楷体_GB2312" w:hAnsi="微软雅黑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组织领导。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明确领导分工和成员职责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，政务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公开办公室设在镇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便民服务中心，明确专人负责研究、协调、推进信息公开工作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形成了有人管、有人抓，早计划、早安排的局面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切实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形成完善的政府信息公开工作制度，政务公开工作的制度化、规范化水平得到进一步提升。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（二）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完善工作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机制。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一是健全信息公开工作制度。依据《中华人民共和国政府信息公开条例》和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要求，出台政务信息公开保密和审查制度，严格区分主动公开、依申请公开、不予公开工作信息。二是完善政务信息公开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类别和内容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及时完善政务信息公开指南和目录。三是加强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建设。利用网站政务公开栏主动公开相关文件，公民、法人和其他组织均可登录网站，按照标题、文号等方式进行查询。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（三）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有效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开展工作。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1.主动公开政务信息情况。一是我镇通过政务公开网站、各类公示栏、公开政府信息，按时办结12345政府热线交办单。同时，大力开展政策解读宣传，充分发挥宣传车、文艺宣传队和宣传手册的作用，大力开展各项惠民惠农政策宣传，有效确保全镇人民对国家法律法规、政策的及时了解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是及时更新单位工作动态、政策法规等内容。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2.依申请公开政务信息办理情况。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年度我镇无申请公开政务信息情况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3.部门信息公开支出及收费情况。信息公开支出由镇财政保障，未收取任何信息公开费用。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人员配置不固定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信息公开工作由便民服务中心人员兼任、人员流动性大，工作缺乏系统性和连贯性；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二是政务信息公开的内容还不够全面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公开工作规范性有待加强。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下一步工作举措：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（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一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）强化公开力度。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不断加大政府信息的公开力度，以社会需求为导向，选择社会关注度高的信息作为突破口，不断丰富信息公开的内容，继续强化信息内容更新。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（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二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）强化督促检查。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要对照要求，查找薄弱环节，狠抓工作落实。细致对照第三方机构常态化测评指出问题，不断提升信息公开质量实效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提高业务能力。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主动对接上级主管部门，及时解决疑难困惑，不断补齐政务公开薄弱短板，提升政务公开工作队伍的整体水平。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45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金牛镇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严格执行《政府信息公开信息处理费管理办法》，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年，未收取任何信息处理费用。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2022年12月1日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MWZhYzA4MWJkNDdkM2MzZjFjZTRiYjRjNDNjZDUifQ=="/>
  </w:docVars>
  <w:rsids>
    <w:rsidRoot w:val="0A4551DD"/>
    <w:rsid w:val="0A4551DD"/>
    <w:rsid w:val="1C5137AC"/>
    <w:rsid w:val="48173A1E"/>
    <w:rsid w:val="60F13838"/>
    <w:rsid w:val="7C4A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1011</Words>
  <Characters>1037</Characters>
  <Lines>0</Lines>
  <Paragraphs>0</Paragraphs>
  <TotalTime>23</TotalTime>
  <ScaleCrop>false</ScaleCrop>
  <LinksUpToDate>false</LinksUpToDate>
  <CharactersWithSpaces>1067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2022-10-20T01:43:00Z</dcterms:created>
  <dc:creator>writepaper</dc:creator>
  <cp:lastModifiedBy>一生所艾</cp:lastModifiedBy>
  <cp:lastPrinted>2023-01-05T03:27:00Z</cp:lastPrinted>
  <dcterms:modified xsi:type="dcterms:W3CDTF">2023-02-01T07:16:07Z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6D677D0678AC4BEEBDBBC7E9C710FE9C</vt:lpwstr>
  </property>
</Properties>
</file>