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CESI仿宋-GB2312" w:hAnsi="CESI仿宋-GB2312" w:eastAsia="CESI仿宋-GB2312" w:cs="CESI仿宋-GB2312"/>
          <w:sz w:val="40"/>
          <w:szCs w:val="40"/>
        </w:rPr>
      </w:pPr>
      <w:r>
        <w:rPr>
          <w:rFonts w:hint="eastAsia" w:ascii="CESI小标宋-GB2312" w:hAnsi="CESI小标宋-GB2312" w:eastAsia="CESI小标宋-GB2312" w:cs="CESI小标宋-GB2312"/>
          <w:sz w:val="40"/>
          <w:szCs w:val="40"/>
          <w:lang w:val="en-US" w:eastAsia="zh-CN"/>
        </w:rPr>
        <w:t>金牛镇人民政府2023</w:t>
      </w:r>
      <w:r>
        <w:rPr>
          <w:rFonts w:hint="eastAsia" w:ascii="CESI小标宋-GB2312" w:hAnsi="CESI小标宋-GB2312" w:eastAsia="CESI小标宋-GB2312" w:cs="CESI小标宋-GB2312"/>
          <w:sz w:val="40"/>
          <w:szCs w:val="40"/>
        </w:rPr>
        <w:t>年度行政执法统计年报</w:t>
      </w:r>
    </w:p>
    <w:p>
      <w:pPr>
        <w:spacing w:line="580" w:lineRule="exact"/>
        <w:rPr>
          <w:rFonts w:hint="eastAsia" w:ascii="CESI仿宋-GB2312" w:hAnsi="CESI仿宋-GB2312" w:eastAsia="CESI仿宋-GB2312" w:cs="CESI仿宋-GB2312"/>
          <w:b/>
          <w:bCs/>
          <w:sz w:val="36"/>
          <w:szCs w:val="36"/>
        </w:rPr>
      </w:pPr>
    </w:p>
    <w:p>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pPr>
        <w:spacing w:line="580" w:lineRule="exact"/>
        <w:ind w:firstLine="640" w:firstLineChars="200"/>
        <w:rPr>
          <w:rFonts w:hint="eastAsia" w:ascii="CESI仿宋-GB2312" w:hAnsi="CESI仿宋-GB2312" w:eastAsia="CESI仿宋-GB2312" w:cs="CESI仿宋-GB2312"/>
          <w:sz w:val="32"/>
          <w:szCs w:val="32"/>
          <w:lang w:val="en-US" w:eastAsia="zh-CN"/>
        </w:rPr>
      </w:pPr>
      <w:r>
        <w:rPr>
          <w:rFonts w:hint="eastAsia" w:ascii="楷体" w:hAnsi="楷体" w:eastAsia="楷体" w:cs="楷体"/>
          <w:sz w:val="32"/>
          <w:szCs w:val="32"/>
        </w:rPr>
        <w:t>行政执法主体的名称</w:t>
      </w:r>
      <w:r>
        <w:rPr>
          <w:rFonts w:hint="eastAsia" w:ascii="楷体" w:hAnsi="楷体" w:eastAsia="楷体" w:cs="楷体"/>
          <w:sz w:val="32"/>
          <w:szCs w:val="32"/>
          <w:lang w:eastAsia="zh-CN"/>
        </w:rPr>
        <w:t>：</w:t>
      </w:r>
      <w:r>
        <w:rPr>
          <w:rFonts w:hint="eastAsia" w:ascii="CESI仿宋-GB2312" w:hAnsi="CESI仿宋-GB2312" w:eastAsia="CESI仿宋-GB2312" w:cs="CESI仿宋-GB2312"/>
          <w:sz w:val="32"/>
          <w:szCs w:val="32"/>
          <w:lang w:val="en-US" w:eastAsia="zh-CN"/>
        </w:rPr>
        <w:t>金牛镇人民政府</w:t>
      </w:r>
    </w:p>
    <w:p>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r>
        <w:rPr>
          <w:rFonts w:hint="eastAsia" w:ascii="楷体" w:hAnsi="楷体" w:eastAsia="楷体" w:cs="楷体"/>
          <w:sz w:val="32"/>
          <w:szCs w:val="32"/>
          <w:lang w:eastAsia="zh-CN"/>
        </w:rPr>
        <w:t>。</w:t>
      </w:r>
    </w:p>
    <w:p>
      <w:pPr>
        <w:numPr>
          <w:ilvl w:val="0"/>
          <w:numId w:val="0"/>
        </w:numPr>
        <w:spacing w:line="58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行政执法机关及各执法主体的执法岗位设置数量</w:t>
      </w:r>
      <w:r>
        <w:rPr>
          <w:rFonts w:hint="eastAsia" w:ascii="楷体" w:hAnsi="楷体" w:eastAsia="楷体" w:cs="楷体"/>
          <w:sz w:val="32"/>
          <w:szCs w:val="32"/>
          <w:lang w:val="en-US" w:eastAsia="zh-CN"/>
        </w:rPr>
        <w:t>为1，</w:t>
      </w:r>
      <w:r>
        <w:rPr>
          <w:rFonts w:hint="eastAsia" w:ascii="楷体" w:hAnsi="楷体" w:eastAsia="楷体" w:cs="楷体"/>
          <w:sz w:val="32"/>
          <w:szCs w:val="32"/>
        </w:rPr>
        <w:t>在岗执法人员数量</w:t>
      </w:r>
      <w:r>
        <w:rPr>
          <w:rFonts w:hint="eastAsia" w:ascii="楷体" w:hAnsi="楷体" w:eastAsia="楷体" w:cs="楷体"/>
          <w:sz w:val="32"/>
          <w:szCs w:val="32"/>
          <w:lang w:val="en-US" w:eastAsia="zh-CN"/>
        </w:rPr>
        <w:t>为1。</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（三）其他需要说明的情况。</w:t>
      </w:r>
    </w:p>
    <w:p>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年度行政执法案件情况</w:t>
      </w:r>
    </w:p>
    <w:p>
      <w:pPr>
        <w:pStyle w:val="2"/>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pPr>
              <w:pStyle w:val="2"/>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Style w:val="5"/>
                <w:rFonts w:hint="default"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金牛镇人民政府</w:t>
            </w:r>
          </w:p>
        </w:tc>
        <w:tc>
          <w:tcPr>
            <w:tcW w:w="937"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CESI仿宋-GB2312" w:hAnsi="CESI仿宋-GB2312" w:eastAsia="CESI仿宋-GB2312" w:cs="CESI仿宋-GB2312"/>
                <w:szCs w:val="24"/>
                <w:lang w:eastAsia="zh-CN"/>
              </w:rPr>
              <w:t>0</w:t>
            </w:r>
          </w:p>
        </w:tc>
        <w:tc>
          <w:tcPr>
            <w:tcW w:w="106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00" w:hRule="atLeast"/>
          <w:jc w:val="center"/>
        </w:trPr>
        <w:tc>
          <w:tcPr>
            <w:tcW w:w="751" w:type="dxa"/>
            <w:vMerge w:val="continue"/>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bl>
    <w:p>
      <w:pPr>
        <w:pStyle w:val="2"/>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年行政许可实施情况统计表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不予许可</w:t>
            </w:r>
          </w:p>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撤销许可</w:t>
            </w:r>
          </w:p>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Cs w:val="24"/>
                <w:lang w:val="en-US" w:eastAsia="zh-CN"/>
              </w:rPr>
              <w:t>金牛镇人民政府</w:t>
            </w:r>
          </w:p>
        </w:tc>
        <w:tc>
          <w:tcPr>
            <w:tcW w:w="154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99"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4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94"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4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pPr>
        <w:pStyle w:val="2"/>
        <w:widowControl/>
        <w:spacing w:before="0" w:beforeAutospacing="0" w:after="0" w:afterAutospacing="0" w:line="360" w:lineRule="exact"/>
        <w:ind w:firstLine="462" w:firstLineChars="200"/>
        <w:jc w:val="both"/>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w:t>
      </w:r>
      <w:bookmarkStart w:id="0" w:name="_GoBack"/>
      <w:bookmarkEnd w:id="0"/>
      <w:r>
        <w:rPr>
          <w:rFonts w:hint="eastAsia" w:ascii="仿宋_GB2312" w:hAnsi="仿宋_GB2312" w:eastAsia="仿宋_GB2312" w:cs="仿宋_GB2312"/>
          <w:sz w:val="23"/>
          <w:szCs w:val="23"/>
        </w:rPr>
        <w:t>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年行政强制实施情况统计表</w:t>
      </w:r>
      <w:r>
        <w:rPr>
          <w:rStyle w:val="5"/>
          <w:rFonts w:hint="eastAsia" w:ascii="CESI楷体-GB2312" w:hAnsi="CESI楷体-GB2312" w:eastAsia="CESI楷体-GB2312" w:cs="CESI楷体-GB2312"/>
          <w:b w:val="0"/>
          <w:bCs w:val="0"/>
          <w:sz w:val="16"/>
          <w:szCs w:val="16"/>
        </w:rPr>
        <w:t> </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1"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2728" w:type="dxa"/>
            <w:gridSpan w:val="4"/>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行政强制措施实施数量（宗）</w:t>
            </w:r>
          </w:p>
        </w:tc>
        <w:tc>
          <w:tcPr>
            <w:tcW w:w="4481" w:type="dxa"/>
            <w:gridSpan w:val="7"/>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行政强制执行实施数量（宗）</w:t>
            </w:r>
          </w:p>
        </w:tc>
        <w:tc>
          <w:tcPr>
            <w:tcW w:w="1196"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合计</w:t>
            </w:r>
          </w:p>
          <w:p>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查封场所、设施或者财物</w:t>
            </w:r>
          </w:p>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48"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扣押财物</w:t>
            </w:r>
          </w:p>
        </w:tc>
        <w:tc>
          <w:tcPr>
            <w:tcW w:w="690"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冻结存款、汇款</w:t>
            </w:r>
          </w:p>
        </w:tc>
        <w:tc>
          <w:tcPr>
            <w:tcW w:w="688"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其他行政强制措施</w:t>
            </w:r>
          </w:p>
        </w:tc>
        <w:tc>
          <w:tcPr>
            <w:tcW w:w="3954" w:type="dxa"/>
            <w:gridSpan w:val="6"/>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行政机关强制执行</w:t>
            </w:r>
          </w:p>
        </w:tc>
        <w:tc>
          <w:tcPr>
            <w:tcW w:w="527"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申请法院强制执行</w:t>
            </w: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4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90"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8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581" w:type="dxa"/>
            <w:noWrap/>
            <w:tcMar>
              <w:top w:w="0" w:type="dxa"/>
              <w:left w:w="84" w:type="dxa"/>
              <w:bottom w:w="0" w:type="dxa"/>
              <w:right w:w="84" w:type="dxa"/>
            </w:tcMar>
            <w:vAlign w:val="center"/>
          </w:tcPr>
          <w:p>
            <w:pPr>
              <w:pStyle w:val="2"/>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加处罚款或者滞纳金</w:t>
            </w:r>
          </w:p>
        </w:tc>
        <w:tc>
          <w:tcPr>
            <w:tcW w:w="731"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划拨存款、汇款</w:t>
            </w:r>
          </w:p>
        </w:tc>
        <w:tc>
          <w:tcPr>
            <w:tcW w:w="946"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拍卖或者依法处理查封、扣押的场所、设施或者财物</w:t>
            </w:r>
          </w:p>
        </w:tc>
        <w:tc>
          <w:tcPr>
            <w:tcW w:w="743"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排除妨碍、恢复原状</w:t>
            </w:r>
          </w:p>
        </w:tc>
        <w:tc>
          <w:tcPr>
            <w:tcW w:w="420"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代履行</w:t>
            </w:r>
          </w:p>
        </w:tc>
        <w:tc>
          <w:tcPr>
            <w:tcW w:w="533"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其他强制执行</w:t>
            </w:r>
          </w:p>
        </w:tc>
        <w:tc>
          <w:tcPr>
            <w:tcW w:w="527"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551"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Cs w:val="24"/>
                <w:lang w:val="en-US" w:eastAsia="zh-CN"/>
              </w:rPr>
              <w:t>金牛镇人民政府</w:t>
            </w:r>
          </w:p>
        </w:tc>
        <w:tc>
          <w:tcPr>
            <w:tcW w:w="702"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4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8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1"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31"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46"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2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196"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pPr>
        <w:pStyle w:val="2"/>
        <w:widowControl/>
        <w:spacing w:before="0" w:beforeAutospacing="0" w:after="0" w:afterAutospacing="0" w:line="380" w:lineRule="exact"/>
        <w:ind w:firstLine="462" w:firstLineChars="200"/>
        <w:jc w:val="both"/>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年其他行政执法行为实施情况统计表</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5"/>
                <w:rFonts w:hint="eastAsia" w:ascii="CESI黑体-GB2312" w:hAnsi="CESI黑体-GB2312" w:eastAsia="CESI黑体-GB2312" w:cs="CESI黑体-GB2312"/>
                <w:b w:val="0"/>
                <w:bCs/>
                <w:szCs w:val="24"/>
              </w:rPr>
              <w:t>合计</w:t>
            </w:r>
            <w:r>
              <w:rPr>
                <w:rStyle w:val="5"/>
                <w:rFonts w:hint="eastAsia" w:ascii="CESI黑体-GB2312" w:hAnsi="CESI黑体-GB2312" w:eastAsia="CESI黑体-GB2312" w:cs="CESI黑体-GB2312"/>
                <w:b w:val="0"/>
                <w:bCs/>
                <w:spacing w:val="-16"/>
                <w:w w:val="96"/>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noWrap/>
            <w:tcMar>
              <w:top w:w="0" w:type="dxa"/>
              <w:left w:w="84" w:type="dxa"/>
              <w:bottom w:w="0" w:type="dxa"/>
              <w:right w:w="84" w:type="dxa"/>
            </w:tcMar>
            <w:vAlign w:val="center"/>
          </w:tcPr>
          <w:p>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涉及金额</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pPr>
              <w:spacing w:line="44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534"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Cs w:val="24"/>
                <w:lang w:val="en-US" w:eastAsia="zh-CN"/>
              </w:rPr>
              <w:t>金牛镇人民政府</w:t>
            </w:r>
          </w:p>
        </w:tc>
        <w:tc>
          <w:tcPr>
            <w:tcW w:w="52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1201</w:t>
            </w:r>
          </w:p>
        </w:tc>
        <w:tc>
          <w:tcPr>
            <w:tcW w:w="656"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1201</w:t>
            </w:r>
          </w:p>
        </w:tc>
      </w:tr>
    </w:tbl>
    <w:p>
      <w:pPr>
        <w:spacing w:line="140" w:lineRule="exact"/>
        <w:ind w:firstLine="420" w:firstLineChars="200"/>
        <w:rPr>
          <w:rFonts w:hint="eastAsia" w:ascii="CESI仿宋-GB2312" w:hAnsi="CESI仿宋-GB2312" w:eastAsia="CESI仿宋-GB2312" w:cs="CESI仿宋-GB2312"/>
          <w:szCs w:val="21"/>
        </w:rPr>
      </w:pPr>
    </w:p>
    <w:p>
      <w:pPr>
        <w:spacing w:line="360" w:lineRule="exact"/>
        <w:ind w:firstLine="462" w:firstLineChars="200"/>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年行政执法实施概况</w:t>
      </w:r>
    </w:p>
    <w:p>
      <w:pPr>
        <w:pStyle w:val="2"/>
        <w:widowControl/>
        <w:spacing w:before="180" w:beforeAutospacing="0" w:after="0" w:afterAutospacing="0" w:line="368" w:lineRule="atLeast"/>
        <w:ind w:firstLine="640" w:firstLineChars="200"/>
        <w:jc w:val="both"/>
        <w:rPr>
          <w:rFonts w:hint="default"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2023年金牛镇行政检查1201次，出动检（巡）查人员1246人次，排查出隐患874条，已完成整改812条，下大指令书147份，因2023年中我镇安监办公室工作人员无行政执法证件，故为进行执法。</w:t>
      </w:r>
    </w:p>
    <w:p>
      <w:pPr>
        <w:spacing w:line="5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【行政许可】： 如：《湖北省农业农村厅、湖北省自然资源厅、湖北省住房和城乡建设厅关于进一步做好农村宅基地和农房审批管理工作的通知》规定：（二）乡（镇）政府负责审批。乡（镇）人民政府根据乡（镇）农经（农业农村）或者行政审批服务中心等机构提出的审批建议以及有关部门的意见，对农户宅基地申请进行审批。予以批准的，发放《农村宅基地批准书》和《乡村建设规划许可证》；不予批准的，在作出决定之日起5个工作日内书面通知申请人，并说明理由。乡（镇）人民政府应在每季度首月5日前将上季度审批情况报县级有关主管部门和单位备案，要建立宅基地用地建房审批管理台账，有关资料归档留存。有宅基地管理职责的街道办事处参照乡（镇）人民政府执行。 【行政确认】： 如：《湖北省食品安全条例》第四十五条：乡镇人民政府、街道办事处负责本区域食品摊贩的登记工作，并将食品摊贩登记信息告知所在地的城市管理、食品安全监督管理部门。 城市管理部门负责对食品摊贩在确定的区域和时段经营进行监督管理。食品安全监督管理部门负责对食品摊贩的食品安全进行监督管理。城市管理部门、食品安全监督管理部门应当加强协调、配合，做好食品摊贩的监督管理工作。 【行政给付】： 如：事实无人抚养儿童基本生活保障金的给付（初审）《关于进一步加强事实无人抚养儿童保障工作的意见》（民发〔2019〕62号） 【行政裁决】： 如：《中华人民共和国森林法》第二十二条　单位之间发生的林木、林地所有权和使用权争议，由县级以上人民政府依法处理。 个人之间、个人与单位之间发生的林木所有权和林地使用权争议，由乡镇人民政府或者县级以上人民政府依法处理。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【行政处罚】： 如：教育行政处罚暂行实施办法》第十一条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 【行政强制】： 如：《中华人民共和国城乡规划法》第六十五条　在乡、村庄规划区内未依法取得乡村建设规划许可证或者未按照乡村建设规划许可证的规定进行建设的，由乡、镇人民政府责令停止建设、限期改正；逾期不改正的，可以拆除。 【行政检查】： 如：《地质灾害防治条例》　第十五条　地质灾害易发区的县、乡、村应当加强地质灾害的群测群防工作。在地质灾害重点防范期内，乡镇人民政府、基层群众自治组织应当加强地质灾害险情的巡回检查，发现险情及时处理和报告。 【其他】： 如：殡葬管理条例（2012年修正本）第八条:....农村为村民设置公益性墓地，经乡级人民政府审核同意后，报县级人民政府民政部门审批。</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年度行政执法投诉、举报案件情况</w:t>
      </w:r>
    </w:p>
    <w:p>
      <w:pPr>
        <w:spacing w:line="580" w:lineRule="exact"/>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2023年金牛镇人民政府收到行政应诉案件3起，其中阎良明案于2023年6月与9月分别进行一审（(2023)鄂0281行初10号）、二审（(2023)鄂02行终144号），2023年12月28日开庭的“(2023)鄂0281行赔初5号”（原告为陈华明、金三元、陈华彪、陈亮、陈锦江、陈妮）暂未作出判决</w:t>
      </w:r>
    </w:p>
    <w:p>
      <w:pPr>
        <w:numPr>
          <w:ilvl w:val="0"/>
          <w:numId w:val="2"/>
        </w:num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wordWrap w:val="0"/>
        <w:ind w:firstLine="640" w:firstLineChars="200"/>
        <w:jc w:val="right"/>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金牛镇人民政府</w:t>
      </w:r>
      <w:r>
        <w:rPr>
          <w:rFonts w:hint="default" w:ascii="CESI仿宋-GB2312" w:hAnsi="CESI仿宋-GB2312" w:eastAsia="CESI仿宋-GB2312" w:cs="CESI仿宋-GB2312"/>
          <w:sz w:val="32"/>
          <w:szCs w:val="32"/>
        </w:rPr>
        <w:t xml:space="preserve">（盖章）         </w:t>
      </w:r>
    </w:p>
    <w:p>
      <w:pPr>
        <w:autoSpaceDE w:val="0"/>
        <w:autoSpaceDN w:val="0"/>
        <w:adjustRightInd w:val="0"/>
        <w:snapToGrid w:val="0"/>
        <w:spacing w:line="520" w:lineRule="exact"/>
        <w:jc w:val="center"/>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2024</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3</w:t>
      </w:r>
      <w:r>
        <w:rPr>
          <w:rFonts w:hint="default" w:ascii="CESI仿宋-GB2312" w:hAnsi="CESI仿宋-GB2312" w:eastAsia="CESI仿宋-GB2312" w:cs="CESI仿宋-GB2312"/>
          <w:sz w:val="32"/>
          <w:szCs w:val="32"/>
        </w:rPr>
        <w:t xml:space="preserve">日     </w:t>
      </w:r>
    </w:p>
    <w:p/>
    <w:p/>
    <w:sectPr>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embedRegular r:id="rId1" w:fontKey="{357A3841-760D-434E-8827-3FF8B0B168E2}"/>
  </w:font>
  <w:font w:name="CESI小标宋-GB2312">
    <w:altName w:val="宋体"/>
    <w:panose1 w:val="02000500000000000000"/>
    <w:charset w:val="86"/>
    <w:family w:val="auto"/>
    <w:pitch w:val="default"/>
    <w:sig w:usb0="00000000" w:usb1="00000000" w:usb2="00000010" w:usb3="00000000" w:csb0="0004000F" w:csb1="00000000"/>
    <w:embedRegular r:id="rId2" w:fontKey="{A31030E9-DC32-4072-8F8F-D35DC453BF4D}"/>
  </w:font>
  <w:font w:name="CESI黑体-GB2312">
    <w:altName w:val="黑体"/>
    <w:panose1 w:val="02000500000000000000"/>
    <w:charset w:val="86"/>
    <w:family w:val="auto"/>
    <w:pitch w:val="default"/>
    <w:sig w:usb0="00000000" w:usb1="00000000" w:usb2="00000012" w:usb3="00000000" w:csb0="0004000F" w:csb1="00000000"/>
    <w:embedRegular r:id="rId3" w:fontKey="{8E6BAD83-8511-4327-B679-F619110D1415}"/>
  </w:font>
  <w:font w:name="楷体">
    <w:panose1 w:val="02010609060101010101"/>
    <w:charset w:val="86"/>
    <w:family w:val="auto"/>
    <w:pitch w:val="default"/>
    <w:sig w:usb0="800002BF" w:usb1="38CF7CFA" w:usb2="00000016" w:usb3="00000000" w:csb0="00040001" w:csb1="00000000"/>
    <w:embedRegular r:id="rId4" w:fontKey="{F6497033-441A-46F6-B0FF-DFCEF4EA9EAA}"/>
  </w:font>
  <w:font w:name="CESI楷体-GB2312">
    <w:altName w:val="宋体"/>
    <w:panose1 w:val="02000500000000000000"/>
    <w:charset w:val="86"/>
    <w:family w:val="auto"/>
    <w:pitch w:val="default"/>
    <w:sig w:usb0="00000000" w:usb1="00000000" w:usb2="00000012" w:usb3="00000000" w:csb0="0004000F" w:csb1="00000000"/>
    <w:embedRegular r:id="rId5" w:fontKey="{39A81636-29E2-435D-BEB5-0623D7840ACD}"/>
  </w:font>
  <w:font w:name="仿宋_GB2312">
    <w:altName w:val="仿宋"/>
    <w:panose1 w:val="02010609030101010101"/>
    <w:charset w:val="86"/>
    <w:family w:val="auto"/>
    <w:pitch w:val="default"/>
    <w:sig w:usb0="00000000" w:usb1="00000000" w:usb2="00000000" w:usb3="00000000" w:csb0="00040000" w:csb1="00000000"/>
    <w:embedRegular r:id="rId6" w:fontKey="{0D378001-25E0-4622-9E2F-4C253442AFC3}"/>
  </w:font>
  <w:font w:name="方正小标宋简体">
    <w:panose1 w:val="02000000000000000000"/>
    <w:charset w:val="86"/>
    <w:family w:val="auto"/>
    <w:pitch w:val="default"/>
    <w:sig w:usb0="00000001" w:usb1="08000000" w:usb2="00000000" w:usb3="00000000" w:csb0="00040000" w:csb1="00000000"/>
    <w:embedRegular r:id="rId7" w:fontKey="{C96AC6E3-A410-4BBB-8409-3CD5F283F812}"/>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E3744"/>
    <w:multiLevelType w:val="singleLevel"/>
    <w:tmpl w:val="496E3744"/>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YTFhNDEwN2E5NjdlNmRhZWZlNDEyMDUzNmJmZjQifQ=="/>
  </w:docVars>
  <w:rsids>
    <w:rsidRoot w:val="00000000"/>
    <w:rsid w:val="1947586F"/>
    <w:rsid w:val="199D27FF"/>
    <w:rsid w:val="3EAB0813"/>
    <w:rsid w:val="6B951632"/>
    <w:rsid w:val="CDFA149E"/>
    <w:rsid w:val="FD799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autoRedefine/>
    <w:qFormat/>
    <w:uiPriority w:val="99"/>
    <w:pPr>
      <w:spacing w:before="100" w:beforeAutospacing="1" w:after="100" w:afterAutospacing="1"/>
      <w:jc w:val="left"/>
    </w:pPr>
    <w:rPr>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超萌小正太</cp:lastModifiedBy>
  <cp:lastPrinted>2024-01-22T03:28:22Z</cp:lastPrinted>
  <dcterms:modified xsi:type="dcterms:W3CDTF">2024-01-22T06:52:39Z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F79E3CCE71A643D1A4913075522527A7_13</vt:lpwstr>
  </property>
</Properties>
</file>