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大冶市金牛镇退役军人服务站2023年部门预算公开情况说明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附件：大冶市金牛镇退役军人服务站2023年部门预算公开表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w:t>
      </w:r>
      <w:r>
        <w:rPr>
          <w:rFonts w:hint="eastAsia" w:ascii="仿宋_GB2312" w:eastAsia="仿宋_GB2312" w:cs="宋体"/>
          <w:kern w:val="2"/>
          <w:sz w:val="32"/>
          <w:szCs w:val="20"/>
          <w:lang w:val="en-US" w:eastAsia="zh-CN" w:bidi="ar-SA"/>
        </w:rPr>
        <w:t>负责一对一服务退役军人，做好关系接转，信访接待，就业创业，优抚帮扶，权益保障，信息采集，情况反映，立功喜报，悬挂光荣牌和“八一”、春节等节日以及重大变故走访慰问等具体事务；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w:t>
      </w:r>
      <w:r>
        <w:rPr>
          <w:rFonts w:hint="eastAsia" w:ascii="仿宋_GB2312" w:eastAsia="仿宋_GB2312" w:cs="宋体"/>
          <w:kern w:val="2"/>
          <w:sz w:val="32"/>
          <w:szCs w:val="20"/>
          <w:lang w:val="en-US" w:eastAsia="zh-CN" w:bidi="ar-SA"/>
        </w:rPr>
        <w:t>搭建政策咨询、帮扶援助、沟通联系、学习交流等活动场所；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w:t>
      </w:r>
      <w:r>
        <w:rPr>
          <w:rFonts w:hint="eastAsia" w:ascii="仿宋_GB2312" w:eastAsia="仿宋_GB2312" w:cs="宋体"/>
          <w:kern w:val="2"/>
          <w:sz w:val="32"/>
          <w:szCs w:val="20"/>
          <w:lang w:val="en-US" w:eastAsia="zh-CN" w:bidi="ar-SA"/>
        </w:rPr>
        <w:t>完成市退役军人事务局交办的其他事务性工作。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金牛镇退役军人服务站</w:t>
      </w:r>
      <w:r>
        <w:rPr>
          <w:rFonts w:hint="default" w:ascii="仿宋_GB2312" w:eastAsia="仿宋_GB2312" w:cs="宋体"/>
          <w:kern w:val="2"/>
          <w:sz w:val="32"/>
          <w:szCs w:val="20"/>
          <w:lang w:val="en-US" w:eastAsia="zh-CN" w:bidi="ar-SA"/>
        </w:rPr>
        <w:t>由机关</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309" w:type="pct"/>
            <w:vAlign w:val="center"/>
          </w:tcPr>
          <w:p>
            <w:pPr>
              <w:pStyle w:val="2"/>
              <w:keepNext w:val="0"/>
              <w:keepLines w:val="0"/>
              <w:pageBreakBefore w:val="0"/>
              <w:widowControl/>
              <w:numPr>
                <w:ilvl w:val="0"/>
                <w:numId w:val="0"/>
              </w:numPr>
              <w:suppressLineNumbers w:val="0"/>
              <w:tabs>
                <w:tab w:val="left" w:pos="2580"/>
              </w:tabs>
              <w:kinsoku/>
              <w:wordWrap/>
              <w:overflowPunct/>
              <w:topLinePunct w:val="0"/>
              <w:autoSpaceDE/>
              <w:autoSpaceDN/>
              <w:bidi w:val="0"/>
              <w:adjustRightInd/>
              <w:snapToGrid/>
              <w:spacing w:before="0" w:beforeAutospacing="0" w:after="0" w:afterAutospacing="0" w:line="240" w:lineRule="auto"/>
              <w:ind w:right="0" w:rightChars="0"/>
              <w:jc w:val="left"/>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hAnsiTheme="minorHAnsi"/>
          <w:b/>
          <w:bCs/>
          <w:kern w:val="2"/>
          <w:sz w:val="32"/>
          <w:szCs w:val="20"/>
          <w:lang w:val="en-US" w:eastAsia="zh-CN" w:bidi="ar-SA"/>
        </w:rPr>
        <w:t>XX</w:t>
      </w:r>
      <w:r>
        <w:rPr>
          <w:rFonts w:hint="default" w:ascii="仿宋_GB2312" w:eastAsia="仿宋_GB2312" w:cs="宋体" w:hAnsiTheme="minorHAnsi"/>
          <w:b/>
          <w:bCs/>
          <w:kern w:val="2"/>
          <w:sz w:val="32"/>
          <w:szCs w:val="20"/>
          <w:lang w:val="en-US" w:eastAsia="zh-CN" w:bidi="ar-SA"/>
        </w:rPr>
        <w:t>局二级事业单位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bookmarkStart w:id="0" w:name="_GoBack"/>
      <w:bookmarkEnd w:id="0"/>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金牛镇退役军人服务站</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增加15.98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增长79.66</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金牛镇退役军人服务站</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w:t>
      </w:r>
      <w:r>
        <w:rPr>
          <w:rFonts w:hint="eastAsia" w:ascii="仿宋_GB2312" w:eastAsia="仿宋_GB2312" w:cs="宋体"/>
          <w:kern w:val="2"/>
          <w:sz w:val="32"/>
          <w:szCs w:val="20"/>
          <w:lang w:val="en-US" w:eastAsia="zh-CN" w:bidi="ar-SA"/>
        </w:rPr>
        <w:t>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万元，比上年</w:t>
      </w:r>
      <w:r>
        <w:rPr>
          <w:rFonts w:hint="eastAsia" w:ascii="仿宋_GB2312" w:eastAsia="仿宋_GB2312" w:cs="宋体"/>
          <w:kern w:val="2"/>
          <w:sz w:val="32"/>
          <w:szCs w:val="20"/>
          <w:lang w:val="en-US" w:eastAsia="zh-CN" w:bidi="ar-SA"/>
        </w:rPr>
        <w:t>增加15.98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增长79.66</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%；项目支出0万元，占总支出的0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%。按支出功能分类，</w:t>
      </w:r>
      <w:r>
        <w:rPr>
          <w:rFonts w:hint="eastAsia" w:ascii="仿宋_GB2312" w:eastAsia="仿宋_GB2312" w:cs="宋体"/>
          <w:kern w:val="2"/>
          <w:sz w:val="32"/>
          <w:szCs w:val="20"/>
          <w:lang w:val="en-US" w:eastAsia="zh-CN" w:bidi="ar-SA"/>
        </w:rPr>
        <w:t>事业</w:t>
      </w:r>
      <w:r>
        <w:rPr>
          <w:rFonts w:hint="default" w:ascii="仿宋_GB2312" w:eastAsia="仿宋_GB2312" w:cs="宋体"/>
          <w:kern w:val="2"/>
          <w:sz w:val="32"/>
          <w:szCs w:val="20"/>
          <w:lang w:val="en-US" w:eastAsia="zh-CN" w:bidi="ar-SA"/>
        </w:rPr>
        <w:t>运行支出</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增加15.98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增幅79.66</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36.04</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增加15.98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增幅79.66</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33.66</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增加15.76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增幅88.04</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该项支出比上年增加主要原因是基础绩效和年终考核奖纳入预算。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2.18</w:t>
      </w:r>
      <w:r>
        <w:rPr>
          <w:rFonts w:hint="default" w:ascii="仿宋_GB2312" w:eastAsia="仿宋_GB2312" w:cs="宋体"/>
          <w:kern w:val="2"/>
          <w:sz w:val="32"/>
          <w:szCs w:val="20"/>
          <w:lang w:val="en-US" w:eastAsia="zh-CN" w:bidi="ar-SA"/>
        </w:rPr>
        <w:t>万元，较202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增加0.03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增幅1.4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w:t>
      </w:r>
      <w:r>
        <w:rPr>
          <w:rFonts w:hint="eastAsia" w:ascii="仿宋_GB2312" w:eastAsia="仿宋_GB2312" w:cs="宋体"/>
          <w:kern w:val="2"/>
          <w:sz w:val="32"/>
          <w:szCs w:val="20"/>
          <w:lang w:val="en-US" w:eastAsia="zh-CN" w:bidi="ar-SA"/>
        </w:rPr>
        <w:t>增加</w:t>
      </w:r>
      <w:r>
        <w:rPr>
          <w:rFonts w:hint="default" w:ascii="仿宋_GB2312" w:eastAsia="仿宋_GB2312" w:cs="宋体"/>
          <w:kern w:val="2"/>
          <w:sz w:val="32"/>
          <w:szCs w:val="20"/>
          <w:lang w:val="en-US" w:eastAsia="zh-CN" w:bidi="ar-SA"/>
        </w:rPr>
        <w:t>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工会经费基数增加。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增加（减少）0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项目支出预算0万元，较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年增加（减少）0万元，主要原因是</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（3）XX项目0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年机关运行经费0万元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，比上年增加（减少）0万元，增长（下降）0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2023年“三公”经费财政拨款预算支出0万元，较上年减少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其中：公务接待费0万元，较上年减少0万元，主要用于接待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万元，比上年增加（减少）</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2023年实行绩效目标管理的项目有0个，项目预算0万元。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数量指标：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2、XX项目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质量</w:t>
      </w:r>
      <w:r>
        <w:rPr>
          <w:rFonts w:hint="default" w:ascii="仿宋_GB2312" w:eastAsia="仿宋_GB2312" w:cs="宋体"/>
          <w:kern w:val="2"/>
          <w:sz w:val="32"/>
          <w:szCs w:val="20"/>
          <w:lang w:val="en-US" w:eastAsia="zh-CN" w:bidi="ar-SA"/>
        </w:rPr>
        <w:t>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附件：大冶市金牛镇退役军人服务站2023年部门预算公开表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lang w:val="en-US" w:eastAsia="zh-CN"/>
        </w:rPr>
      </w:pPr>
      <w:r>
        <w:rPr>
          <w:rFonts w:hint="eastAsia" w:ascii="仿宋_GB2312" w:eastAsia="仿宋_GB2312" w:cs="宋体"/>
          <w:kern w:val="2"/>
          <w:sz w:val="32"/>
          <w:szCs w:val="20"/>
          <w:lang w:val="en-US" w:eastAsia="zh-CN" w:bidi="ar-SA"/>
        </w:rPr>
        <w:t>见网页下方附件。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2A716D5E"/>
    <w:multiLevelType w:val="singleLevel"/>
    <w:tmpl w:val="2A716D5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NiNTk4Yzg3YThlMzc2ZTAzNmYwYzZmOTc2YTMifQ=="/>
    <w:docVar w:name="KSO_WPS_MARK_KEY" w:val="a7659690-9e4d-4c3e-af08-67ee41d606ac"/>
  </w:docVars>
  <w:rsids>
    <w:rsidRoot w:val="00172A27"/>
    <w:rsid w:val="086A4C2D"/>
    <w:rsid w:val="0B503035"/>
    <w:rsid w:val="0C0374EE"/>
    <w:rsid w:val="104A62F1"/>
    <w:rsid w:val="14F2292B"/>
    <w:rsid w:val="222C4798"/>
    <w:rsid w:val="22871F0B"/>
    <w:rsid w:val="28855DF1"/>
    <w:rsid w:val="2D0926D4"/>
    <w:rsid w:val="2D280215"/>
    <w:rsid w:val="2D68268E"/>
    <w:rsid w:val="37BD5B66"/>
    <w:rsid w:val="3CB94BA1"/>
    <w:rsid w:val="44B27EEE"/>
    <w:rsid w:val="47907D04"/>
    <w:rsid w:val="4A2046B5"/>
    <w:rsid w:val="4C970488"/>
    <w:rsid w:val="52843F39"/>
    <w:rsid w:val="530007F6"/>
    <w:rsid w:val="5CFD78E3"/>
    <w:rsid w:val="5D1F7497"/>
    <w:rsid w:val="71D9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2745</Words>
  <Characters>2998</Characters>
  <Lines>0</Lines>
  <Paragraphs>0</Paragraphs>
  <TotalTime>0</TotalTime>
  <ScaleCrop>false</ScaleCrop>
  <LinksUpToDate>false</LinksUpToDate>
  <CharactersWithSpaces>3000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李翔</cp:lastModifiedBy>
  <cp:lastPrinted>2022-03-23T09:34:00Z</cp:lastPrinted>
  <dcterms:modified xsi:type="dcterms:W3CDTF">2023-02-10T01:26:20Z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924A37FC8A014C46BD95028FFA2238D3</vt:lpwstr>
  </property>
</Properties>
</file>