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05D4BD">
      <w:pPr>
        <w:keepNext w:val="0"/>
        <w:keepLines w:val="0"/>
        <w:pageBreakBefore w:val="0"/>
        <w:widowControl w:val="0"/>
        <w:kinsoku/>
        <w:overflowPunct/>
        <w:topLinePunct w:val="0"/>
        <w:autoSpaceDN/>
        <w:bidi w:val="0"/>
        <w:adjustRightInd/>
        <w:snapToGrid/>
        <w:spacing w:line="560" w:lineRule="exact"/>
        <w:jc w:val="center"/>
        <w:textAlignment w:val="auto"/>
        <w:rPr>
          <w:rFonts w:ascii="方正小标宋简体" w:hAnsi="方正小标宋简体" w:eastAsia="方正小标宋简体" w:cs="方正小标宋简体"/>
          <w:bCs/>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14:textFill>
            <w14:solidFill>
              <w14:schemeClr w14:val="tx1"/>
            </w14:solidFill>
          </w14:textFill>
        </w:rPr>
        <w:t>大冶市城区建设工程施工围挡管理</w:t>
      </w:r>
    </w:p>
    <w:p w14:paraId="4752311D">
      <w:pPr>
        <w:keepNext w:val="0"/>
        <w:keepLines w:val="0"/>
        <w:pageBreakBefore w:val="0"/>
        <w:widowControl w:val="0"/>
        <w:kinsoku/>
        <w:overflowPunct/>
        <w:topLinePunct w:val="0"/>
        <w:autoSpaceDN/>
        <w:bidi w:val="0"/>
        <w:adjustRightInd/>
        <w:snapToGrid/>
        <w:spacing w:line="560" w:lineRule="exact"/>
        <w:jc w:val="center"/>
        <w:textAlignment w:val="auto"/>
        <w:rPr>
          <w:rFonts w:ascii="方正小标宋简体" w:hAnsi="方正小标宋简体" w:eastAsia="方正小标宋简体" w:cs="方正小标宋简体"/>
          <w:bCs/>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14:textFill>
            <w14:solidFill>
              <w14:schemeClr w14:val="tx1"/>
            </w14:solidFill>
          </w14:textFill>
        </w:rPr>
        <w:t>暂行办法</w:t>
      </w:r>
    </w:p>
    <w:p w14:paraId="726CDB8B">
      <w:pPr>
        <w:keepNext w:val="0"/>
        <w:keepLines w:val="0"/>
        <w:pageBreakBefore w:val="0"/>
        <w:widowControl w:val="0"/>
        <w:kinsoku/>
        <w:overflowPunct/>
        <w:topLinePunct w:val="0"/>
        <w:autoSpaceDN/>
        <w:bidi w:val="0"/>
        <w:adjustRightInd/>
        <w:snapToGrid/>
        <w:spacing w:line="560" w:lineRule="exact"/>
        <w:jc w:val="center"/>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（征求意见稿）</w:t>
      </w:r>
    </w:p>
    <w:p w14:paraId="22D38B3B">
      <w:pPr>
        <w:keepNext w:val="0"/>
        <w:keepLines w:val="0"/>
        <w:pageBreakBefore w:val="0"/>
        <w:widowControl w:val="0"/>
        <w:kinsoku/>
        <w:overflowPunct/>
        <w:topLinePunct w:val="0"/>
        <w:autoSpaceDN/>
        <w:bidi w:val="0"/>
        <w:adjustRightInd/>
        <w:snapToGrid/>
        <w:spacing w:line="560" w:lineRule="exact"/>
        <w:jc w:val="center"/>
        <w:textAlignment w:val="auto"/>
        <w:rPr>
          <w:rFonts w:ascii="黑体" w:hAnsi="黑体" w:eastAsia="黑体" w:cs="黑体"/>
          <w:color w:val="000000" w:themeColor="text1"/>
          <w:szCs w:val="32"/>
          <w14:textFill>
            <w14:solidFill>
              <w14:schemeClr w14:val="tx1"/>
            </w14:solidFill>
          </w14:textFill>
        </w:rPr>
      </w:pPr>
    </w:p>
    <w:p w14:paraId="40B4D5A1">
      <w:pPr>
        <w:keepNext w:val="0"/>
        <w:keepLines w:val="0"/>
        <w:pageBreakBefore w:val="0"/>
        <w:widowControl w:val="0"/>
        <w:kinsoku/>
        <w:overflowPunct/>
        <w:topLinePunct w:val="0"/>
        <w:autoSpaceDN/>
        <w:bidi w:val="0"/>
        <w:adjustRightInd/>
        <w:snapToGrid/>
        <w:spacing w:line="560" w:lineRule="exact"/>
        <w:jc w:val="center"/>
        <w:textAlignment w:val="auto"/>
        <w:rPr>
          <w:rFonts w:ascii="仿宋_GB2312" w:hAnsi="仿宋_GB2312" w:cs="仿宋_GB2312"/>
          <w:color w:val="000000" w:themeColor="text1"/>
          <w:szCs w:val="32"/>
          <w14:textFill>
            <w14:solidFill>
              <w14:schemeClr w14:val="tx1"/>
            </w14:solidFill>
          </w14:textFill>
        </w:rPr>
      </w:pPr>
      <w:r>
        <w:rPr>
          <w:rFonts w:hint="eastAsia" w:ascii="黑体" w:hAnsi="黑体" w:eastAsia="黑体" w:cs="黑体"/>
          <w:color w:val="000000" w:themeColor="text1"/>
          <w:szCs w:val="32"/>
          <w14:textFill>
            <w14:solidFill>
              <w14:schemeClr w14:val="tx1"/>
            </w14:solidFill>
          </w14:textFill>
        </w:rPr>
        <w:t>第一章 总则</w:t>
      </w:r>
    </w:p>
    <w:p w14:paraId="5CB82835">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黑体" w:hAnsi="黑体" w:eastAsia="黑体" w:cs="黑体"/>
          <w:color w:val="000000" w:themeColor="text1"/>
          <w:szCs w:val="32"/>
          <w14:textFill>
            <w14:solidFill>
              <w14:schemeClr w14:val="tx1"/>
            </w14:solidFill>
          </w14:textFill>
        </w:rPr>
      </w:pPr>
      <w:r>
        <w:rPr>
          <w:rFonts w:hint="eastAsia" w:ascii="仿宋_GB2312" w:hAnsi="仿宋_GB2312" w:cs="仿宋_GB2312"/>
          <w:b/>
          <w:bCs/>
          <w:color w:val="000000" w:themeColor="text1"/>
          <w:szCs w:val="32"/>
          <w14:textFill>
            <w14:solidFill>
              <w14:schemeClr w14:val="tx1"/>
            </w14:solidFill>
          </w14:textFill>
        </w:rPr>
        <w:t>第一条</w:t>
      </w:r>
      <w:r>
        <w:rPr>
          <w:rFonts w:hint="eastAsia" w:ascii="仿宋_GB2312" w:hAnsi="仿宋_GB2312" w:cs="仿宋_GB2312"/>
          <w:b/>
          <w:bCs/>
          <w:color w:val="000000" w:themeColor="text1"/>
          <w:szCs w:val="32"/>
          <w:lang w:val="en-US" w:eastAsia="zh-CN"/>
          <w14:textFill>
            <w14:solidFill>
              <w14:schemeClr w14:val="tx1"/>
            </w14:solidFill>
          </w14:textFill>
        </w:rPr>
        <w:t xml:space="preserve"> </w:t>
      </w:r>
      <w:r>
        <w:rPr>
          <w:rFonts w:hint="eastAsia" w:ascii="仿宋_GB2312" w:hAnsi="仿宋_GB2312" w:cs="仿宋_GB2312"/>
          <w:color w:val="000000" w:themeColor="text1"/>
          <w:szCs w:val="32"/>
          <w14:textFill>
            <w14:solidFill>
              <w14:schemeClr w14:val="tx1"/>
            </w14:solidFill>
          </w14:textFill>
        </w:rPr>
        <w:t>为进一步规范大冶市城区建设工程施工围挡设置和管理，推进安全文明施工，不断改善城市环境，提高城市文明水平，根据《建设工程安全生产管理条例》《湖北省城市市容和环境卫生管理条例》等有关要求，制定本办法。</w:t>
      </w:r>
    </w:p>
    <w:p w14:paraId="2217E566">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hint="default" w:ascii="仿宋_GB2312" w:hAnsi="仿宋_GB2312" w:eastAsia="仿宋_GB2312" w:cs="仿宋_GB2312"/>
          <w:color w:val="000000" w:themeColor="text1"/>
          <w:szCs w:val="32"/>
          <w:lang w:val="en-US" w:eastAsia="zh-CN"/>
          <w14:textFill>
            <w14:solidFill>
              <w14:schemeClr w14:val="tx1"/>
            </w14:solidFill>
          </w14:textFill>
        </w:rPr>
      </w:pPr>
      <w:r>
        <w:rPr>
          <w:rFonts w:hint="eastAsia" w:ascii="仿宋_GB2312" w:hAnsi="仿宋_GB2312" w:cs="仿宋_GB2312"/>
          <w:b/>
          <w:bCs/>
          <w:color w:val="000000" w:themeColor="text1"/>
          <w:szCs w:val="32"/>
          <w14:textFill>
            <w14:solidFill>
              <w14:schemeClr w14:val="tx1"/>
            </w14:solidFill>
          </w14:textFill>
        </w:rPr>
        <w:t>第二条</w:t>
      </w:r>
      <w:r>
        <w:rPr>
          <w:rFonts w:hint="eastAsia" w:ascii="仿宋_GB2312" w:hAnsi="仿宋_GB2312" w:cs="仿宋_GB2312"/>
          <w:b/>
          <w:bCs/>
          <w:color w:val="000000" w:themeColor="text1"/>
          <w:szCs w:val="32"/>
          <w:lang w:val="en-US" w:eastAsia="zh-CN"/>
          <w14:textFill>
            <w14:solidFill>
              <w14:schemeClr w14:val="tx1"/>
            </w14:solidFill>
          </w14:textFill>
        </w:rPr>
        <w:t xml:space="preserve"> </w:t>
      </w:r>
      <w:r>
        <w:rPr>
          <w:rFonts w:hint="eastAsia" w:ascii="仿宋_GB2312" w:hAnsi="仿宋_GB2312" w:cs="仿宋_GB2312"/>
          <w:color w:val="000000" w:themeColor="text1"/>
          <w:szCs w:val="32"/>
          <w14:textFill>
            <w14:solidFill>
              <w14:schemeClr w14:val="tx1"/>
            </w14:solidFill>
          </w14:textFill>
        </w:rPr>
        <w:t>本办法适用于大冶市城区内</w:t>
      </w:r>
      <w:r>
        <w:rPr>
          <w:rFonts w:hint="eastAsia" w:ascii="仿宋_GB2312" w:hAnsi="仿宋_GB2312" w:cs="仿宋_GB2312"/>
          <w:color w:val="000000" w:themeColor="text1"/>
          <w:szCs w:val="32"/>
          <w:lang w:eastAsia="zh-CN"/>
          <w14:textFill>
            <w14:solidFill>
              <w14:schemeClr w14:val="tx1"/>
            </w14:solidFill>
          </w14:textFill>
        </w:rPr>
        <w:t>（</w:t>
      </w:r>
      <w:r>
        <w:rPr>
          <w:rFonts w:hint="eastAsia" w:ascii="仿宋_GB2312" w:hAnsi="仿宋_GB2312" w:cs="仿宋_GB2312"/>
          <w:color w:val="000000" w:themeColor="text1"/>
          <w:szCs w:val="32"/>
          <w:lang w:val="en-US" w:eastAsia="zh-CN"/>
          <w14:textFill>
            <w14:solidFill>
              <w14:schemeClr w14:val="tx1"/>
            </w14:solidFill>
          </w14:textFill>
        </w:rPr>
        <w:t>东至高铁大道延伸到熊家洲路、南至金海大道、西至城西路延伸到铜都大道、北至大棋路延伸到铜源西路，适用范围详见附件</w:t>
      </w:r>
      <w:r>
        <w:rPr>
          <w:rFonts w:hint="eastAsia" w:ascii="仿宋_GB2312" w:hAnsi="仿宋_GB2312" w:cs="仿宋_GB2312"/>
          <w:color w:val="000000" w:themeColor="text1"/>
          <w:szCs w:val="32"/>
          <w:lang w:eastAsia="zh-CN"/>
          <w14:textFill>
            <w14:solidFill>
              <w14:schemeClr w14:val="tx1"/>
            </w14:solidFill>
          </w14:textFill>
        </w:rPr>
        <w:t>）</w:t>
      </w:r>
      <w:r>
        <w:rPr>
          <w:rFonts w:hint="eastAsia" w:ascii="仿宋_GB2312" w:hAnsi="仿宋_GB2312" w:cs="仿宋_GB2312"/>
          <w:color w:val="000000" w:themeColor="text1"/>
          <w:szCs w:val="32"/>
          <w14:textFill>
            <w14:solidFill>
              <w14:schemeClr w14:val="tx1"/>
            </w14:solidFill>
          </w14:textFill>
        </w:rPr>
        <w:t>新建、改建、扩建工程（房建、市政、交通、水利、</w:t>
      </w:r>
      <w:r>
        <w:rPr>
          <w:rFonts w:hint="eastAsia" w:ascii="仿宋_GB2312" w:hAnsi="仿宋_GB2312" w:cs="仿宋_GB2312"/>
          <w:color w:val="000000" w:themeColor="text1"/>
          <w:szCs w:val="32"/>
          <w:lang w:val="en-US" w:eastAsia="zh-CN"/>
          <w14:textFill>
            <w14:solidFill>
              <w14:schemeClr w14:val="tx1"/>
            </w14:solidFill>
          </w14:textFill>
        </w:rPr>
        <w:t>装饰装修</w:t>
      </w:r>
      <w:r>
        <w:rPr>
          <w:rFonts w:hint="eastAsia" w:ascii="仿宋_GB2312" w:hAnsi="仿宋_GB2312" w:cs="仿宋_GB2312"/>
          <w:color w:val="000000" w:themeColor="text1"/>
          <w:szCs w:val="32"/>
          <w14:textFill>
            <w14:solidFill>
              <w14:schemeClr w14:val="tx1"/>
            </w14:solidFill>
          </w14:textFill>
        </w:rPr>
        <w:t>等）和拆除工程施工现场围挡的设置和管理活动。</w:t>
      </w:r>
      <w:r>
        <w:rPr>
          <w:rFonts w:hint="eastAsia" w:ascii="仿宋_GB2312" w:hAnsi="仿宋_GB2312" w:cs="仿宋_GB2312"/>
          <w:color w:val="000000" w:themeColor="text1"/>
          <w:szCs w:val="32"/>
          <w:lang w:val="en-US" w:eastAsia="zh-CN"/>
          <w14:textFill>
            <w14:solidFill>
              <w14:schemeClr w14:val="tx1"/>
            </w14:solidFill>
          </w14:textFill>
        </w:rPr>
        <w:t>国有储备土地等其他围挡根据实际情况参照执行。</w:t>
      </w:r>
    </w:p>
    <w:p w14:paraId="0B1B9EC3">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b/>
          <w:bCs/>
          <w:color w:val="000000" w:themeColor="text1"/>
          <w:szCs w:val="32"/>
          <w14:textFill>
            <w14:solidFill>
              <w14:schemeClr w14:val="tx1"/>
            </w14:solidFill>
          </w14:textFill>
        </w:rPr>
        <w:t xml:space="preserve">第三条 </w:t>
      </w:r>
      <w:r>
        <w:rPr>
          <w:rFonts w:hint="eastAsia" w:ascii="仿宋_GB2312" w:hAnsi="仿宋_GB2312" w:cs="仿宋_GB2312"/>
          <w:color w:val="000000" w:themeColor="text1"/>
          <w:szCs w:val="32"/>
          <w14:textFill>
            <w14:solidFill>
              <w14:schemeClr w14:val="tx1"/>
            </w14:solidFill>
          </w14:textFill>
        </w:rPr>
        <w:t>本办法工作目标是着力提升建设工地</w:t>
      </w:r>
      <w:bookmarkStart w:id="0" w:name="_GoBack"/>
      <w:bookmarkEnd w:id="0"/>
      <w:r>
        <w:rPr>
          <w:rFonts w:hint="eastAsia" w:ascii="仿宋_GB2312" w:hAnsi="仿宋_GB2312" w:cs="仿宋_GB2312"/>
          <w:color w:val="000000" w:themeColor="text1"/>
          <w:szCs w:val="32"/>
          <w14:textFill>
            <w14:solidFill>
              <w14:schemeClr w14:val="tx1"/>
            </w14:solidFill>
          </w14:textFill>
        </w:rPr>
        <w:t>标准化、精细化管理水平，完善长效管理机制，使围挡成为大冶市城区美丽景观的重要组成部分，不断提升市民对环境的满意度。</w:t>
      </w:r>
    </w:p>
    <w:p w14:paraId="1EF7555C">
      <w:pPr>
        <w:keepNext w:val="0"/>
        <w:keepLines w:val="0"/>
        <w:pageBreakBefore w:val="0"/>
        <w:widowControl w:val="0"/>
        <w:kinsoku/>
        <w:overflowPunct/>
        <w:topLinePunct w:val="0"/>
        <w:autoSpaceDN/>
        <w:bidi w:val="0"/>
        <w:adjustRightInd/>
        <w:snapToGrid/>
        <w:spacing w:line="560" w:lineRule="exact"/>
        <w:ind w:firstLine="608" w:firstLineChars="200"/>
        <w:jc w:val="center"/>
        <w:textAlignment w:val="auto"/>
        <w:rPr>
          <w:rFonts w:ascii="仿宋_GB2312" w:hAnsi="仿宋_GB2312" w:cs="仿宋_GB2312"/>
          <w:color w:val="000000" w:themeColor="text1"/>
          <w:szCs w:val="32"/>
          <w14:textFill>
            <w14:solidFill>
              <w14:schemeClr w14:val="tx1"/>
            </w14:solidFill>
          </w14:textFill>
        </w:rPr>
      </w:pPr>
    </w:p>
    <w:p w14:paraId="579CF97E">
      <w:pPr>
        <w:keepNext w:val="0"/>
        <w:keepLines w:val="0"/>
        <w:pageBreakBefore w:val="0"/>
        <w:widowControl w:val="0"/>
        <w:kinsoku/>
        <w:overflowPunct/>
        <w:topLinePunct w:val="0"/>
        <w:autoSpaceDN/>
        <w:bidi w:val="0"/>
        <w:adjustRightInd/>
        <w:snapToGrid/>
        <w:spacing w:line="560" w:lineRule="exact"/>
        <w:jc w:val="center"/>
        <w:textAlignment w:val="auto"/>
        <w:rPr>
          <w:rFonts w:ascii="仿宋_GB2312" w:hAnsi="仿宋_GB2312" w:cs="仿宋_GB2312"/>
          <w:color w:val="000000" w:themeColor="text1"/>
          <w:szCs w:val="32"/>
          <w14:textFill>
            <w14:solidFill>
              <w14:schemeClr w14:val="tx1"/>
            </w14:solidFill>
          </w14:textFill>
        </w:rPr>
      </w:pPr>
      <w:r>
        <w:rPr>
          <w:rFonts w:hint="eastAsia" w:ascii="黑体" w:hAnsi="黑体" w:eastAsia="黑体" w:cs="黑体"/>
          <w:color w:val="000000" w:themeColor="text1"/>
          <w:szCs w:val="32"/>
          <w14:textFill>
            <w14:solidFill>
              <w14:schemeClr w14:val="tx1"/>
            </w14:solidFill>
          </w14:textFill>
        </w:rPr>
        <w:t>第二章 职责分工</w:t>
      </w:r>
    </w:p>
    <w:p w14:paraId="58FAC5B6">
      <w:pPr>
        <w:keepNext w:val="0"/>
        <w:keepLines w:val="0"/>
        <w:pageBreakBefore w:val="0"/>
        <w:widowControl w:val="0"/>
        <w:kinsoku/>
        <w:overflowPunct/>
        <w:topLinePunct w:val="0"/>
        <w:autoSpaceDN/>
        <w:bidi w:val="0"/>
        <w:adjustRightInd/>
        <w:snapToGrid/>
        <w:spacing w:line="560" w:lineRule="exact"/>
        <w:ind w:firstLine="608" w:firstLineChars="200"/>
        <w:jc w:val="left"/>
        <w:textAlignment w:val="auto"/>
        <w:rPr>
          <w:rFonts w:ascii="仿宋_GB2312" w:hAnsi="仿宋_GB2312" w:cs="仿宋_GB2312"/>
          <w:color w:val="000000" w:themeColor="text1"/>
          <w:szCs w:val="32"/>
          <w14:textFill>
            <w14:solidFill>
              <w14:schemeClr w14:val="tx1"/>
            </w14:solidFill>
          </w14:textFill>
        </w:rPr>
      </w:pPr>
      <w:r>
        <w:rPr>
          <w:rFonts w:ascii="仿宋_GB2312" w:hAnsi="仿宋_GB2312" w:cs="仿宋_GB2312"/>
          <w:b/>
          <w:bCs/>
          <w:color w:val="000000" w:themeColor="text1"/>
          <w:szCs w:val="32"/>
          <w14:textFill>
            <w14:solidFill>
              <w14:schemeClr w14:val="tx1"/>
            </w14:solidFill>
          </w14:textFill>
        </w:rPr>
        <w:t>第</w:t>
      </w:r>
      <w:r>
        <w:rPr>
          <w:rFonts w:hint="eastAsia" w:ascii="仿宋_GB2312" w:hAnsi="仿宋_GB2312" w:cs="仿宋_GB2312"/>
          <w:b/>
          <w:bCs/>
          <w:color w:val="000000" w:themeColor="text1"/>
          <w:szCs w:val="32"/>
          <w14:textFill>
            <w14:solidFill>
              <w14:schemeClr w14:val="tx1"/>
            </w14:solidFill>
          </w14:textFill>
        </w:rPr>
        <w:t>四</w:t>
      </w:r>
      <w:r>
        <w:rPr>
          <w:rFonts w:ascii="仿宋_GB2312" w:hAnsi="仿宋_GB2312" w:cs="仿宋_GB2312"/>
          <w:b/>
          <w:bCs/>
          <w:color w:val="000000" w:themeColor="text1"/>
          <w:szCs w:val="32"/>
          <w14:textFill>
            <w14:solidFill>
              <w14:schemeClr w14:val="tx1"/>
            </w14:solidFill>
          </w14:textFill>
        </w:rPr>
        <w:t>条</w:t>
      </w:r>
      <w:r>
        <w:rPr>
          <w:rFonts w:hint="eastAsia" w:ascii="仿宋_GB2312" w:hAnsi="仿宋_GB2312" w:cs="仿宋_GB2312"/>
          <w:b/>
          <w:bCs/>
          <w:color w:val="000000" w:themeColor="text1"/>
          <w:szCs w:val="32"/>
          <w:lang w:val="en-US" w:eastAsia="zh-CN"/>
          <w14:textFill>
            <w14:solidFill>
              <w14:schemeClr w14:val="tx1"/>
            </w14:solidFill>
          </w14:textFill>
        </w:rPr>
        <w:t xml:space="preserve"> </w:t>
      </w:r>
      <w:r>
        <w:rPr>
          <w:rFonts w:ascii="仿宋_GB2312" w:hAnsi="仿宋_GB2312" w:cs="仿宋_GB2312"/>
          <w:color w:val="000000" w:themeColor="text1"/>
          <w:szCs w:val="32"/>
          <w14:textFill>
            <w14:solidFill>
              <w14:schemeClr w14:val="tx1"/>
            </w14:solidFill>
          </w14:textFill>
        </w:rPr>
        <w:t>按照</w:t>
      </w:r>
      <w:r>
        <w:rPr>
          <w:rFonts w:hint="eastAsia" w:ascii="仿宋_GB2312" w:hAnsi="仿宋_GB2312" w:cs="仿宋_GB2312"/>
          <w:color w:val="000000" w:themeColor="text1"/>
          <w:szCs w:val="32"/>
          <w14:textFill>
            <w14:solidFill>
              <w14:schemeClr w14:val="tx1"/>
            </w14:solidFill>
          </w14:textFill>
        </w:rPr>
        <w:t>“谁审批、谁主管、谁负责”</w:t>
      </w:r>
      <w:r>
        <w:rPr>
          <w:rFonts w:ascii="仿宋_GB2312" w:hAnsi="仿宋_GB2312" w:cs="仿宋_GB2312"/>
          <w:color w:val="000000" w:themeColor="text1"/>
          <w:szCs w:val="32"/>
          <w14:textFill>
            <w14:solidFill>
              <w14:schemeClr w14:val="tx1"/>
            </w14:solidFill>
          </w14:textFill>
        </w:rPr>
        <w:t>的原则，加强“事前、事中、事后”全周期管理，并对施工围挡方案进行严格把关。</w:t>
      </w:r>
      <w:r>
        <w:rPr>
          <w:rFonts w:hint="eastAsia" w:ascii="仿宋_GB2312" w:hAnsi="仿宋_GB2312" w:cs="仿宋_GB2312"/>
          <w:color w:val="000000" w:themeColor="text1"/>
          <w:szCs w:val="32"/>
          <w14:textFill>
            <w14:solidFill>
              <w14:schemeClr w14:val="tx1"/>
            </w14:solidFill>
          </w14:textFill>
        </w:rPr>
        <w:t>各行业主管部门负责对围挡设置、日常管理、拆除等过程进行监管，</w:t>
      </w:r>
      <w:r>
        <w:rPr>
          <w:rFonts w:ascii="仿宋_GB2312" w:hAnsi="仿宋_GB2312" w:cs="仿宋_GB2312"/>
          <w:color w:val="000000" w:themeColor="text1"/>
          <w:szCs w:val="32"/>
          <w14:textFill>
            <w14:solidFill>
              <w14:schemeClr w14:val="tx1"/>
            </w14:solidFill>
          </w14:textFill>
        </w:rPr>
        <w:t>责任分工如下</w:t>
      </w:r>
      <w:r>
        <w:rPr>
          <w:rFonts w:hint="eastAsia" w:ascii="仿宋_GB2312" w:hAnsi="仿宋_GB2312" w:cs="仿宋_GB2312"/>
          <w:color w:val="000000" w:themeColor="text1"/>
          <w:szCs w:val="32"/>
          <w14:textFill>
            <w14:solidFill>
              <w14:schemeClr w14:val="tx1"/>
            </w14:solidFill>
          </w14:textFill>
        </w:rPr>
        <w:t>：</w:t>
      </w:r>
    </w:p>
    <w:p w14:paraId="770FD625">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（一）市创建中心负责督导城区建设工程围挡规范设置。</w:t>
      </w:r>
    </w:p>
    <w:p w14:paraId="3BADFC6C">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（二）市住建部门负责已办理施工许可证的房屋建筑</w:t>
      </w:r>
      <w:r>
        <w:rPr>
          <w:rFonts w:hint="eastAsia" w:ascii="仿宋_GB2312" w:hAnsi="仿宋_GB2312" w:cs="仿宋_GB2312"/>
          <w:color w:val="000000" w:themeColor="text1"/>
          <w:szCs w:val="32"/>
          <w:lang w:val="en-US" w:eastAsia="zh-CN"/>
          <w14:textFill>
            <w14:solidFill>
              <w14:schemeClr w14:val="tx1"/>
            </w14:solidFill>
          </w14:textFill>
        </w:rPr>
        <w:t>工程</w:t>
      </w:r>
      <w:r>
        <w:rPr>
          <w:rFonts w:hint="eastAsia" w:ascii="仿宋_GB2312" w:hAnsi="仿宋_GB2312" w:cs="仿宋_GB2312"/>
          <w:color w:val="000000" w:themeColor="text1"/>
          <w:szCs w:val="32"/>
          <w14:textFill>
            <w14:solidFill>
              <w14:schemeClr w14:val="tx1"/>
            </w14:solidFill>
          </w14:textFill>
        </w:rPr>
        <w:t>、市政基础设施</w:t>
      </w:r>
      <w:r>
        <w:rPr>
          <w:rFonts w:hint="eastAsia" w:ascii="仿宋_GB2312" w:hAnsi="仿宋_GB2312" w:cs="仿宋_GB2312"/>
          <w:color w:val="000000" w:themeColor="text1"/>
          <w:szCs w:val="32"/>
          <w:lang w:val="en-US" w:eastAsia="zh-CN"/>
          <w14:textFill>
            <w14:solidFill>
              <w14:schemeClr w14:val="tx1"/>
            </w14:solidFill>
          </w14:textFill>
        </w:rPr>
        <w:t>工程</w:t>
      </w:r>
      <w:r>
        <w:rPr>
          <w:rFonts w:hint="eastAsia" w:ascii="仿宋_GB2312" w:hAnsi="仿宋_GB2312" w:cs="仿宋_GB2312"/>
          <w:color w:val="000000" w:themeColor="text1"/>
          <w:szCs w:val="32"/>
          <w14:textFill>
            <w14:solidFill>
              <w14:schemeClr w14:val="tx1"/>
            </w14:solidFill>
          </w14:textFill>
        </w:rPr>
        <w:t>围挡的监管。</w:t>
      </w:r>
    </w:p>
    <w:p w14:paraId="65B3AB93">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（三）</w:t>
      </w:r>
      <w:r>
        <w:rPr>
          <w:rFonts w:hint="eastAsia" w:ascii="仿宋_GB2312" w:hAnsi="仿宋_GB2312" w:cs="仿宋_GB2312"/>
          <w:color w:val="000000" w:themeColor="text1"/>
          <w:szCs w:val="32"/>
          <w:lang w:val="en-US" w:eastAsia="zh-CN"/>
          <w14:textFill>
            <w14:solidFill>
              <w14:schemeClr w14:val="tx1"/>
            </w14:solidFill>
          </w14:textFill>
        </w:rPr>
        <w:t>市城管部门负责主次干道装饰装修工程围挡的监管</w:t>
      </w:r>
      <w:r>
        <w:rPr>
          <w:rFonts w:hint="eastAsia" w:ascii="仿宋_GB2312" w:hAnsi="仿宋_GB2312" w:cs="仿宋_GB2312"/>
          <w:color w:val="000000" w:themeColor="text1"/>
          <w:szCs w:val="32"/>
          <w14:textFill>
            <w14:solidFill>
              <w14:schemeClr w14:val="tx1"/>
            </w14:solidFill>
          </w14:textFill>
        </w:rPr>
        <w:t>；负责</w:t>
      </w:r>
      <w:r>
        <w:rPr>
          <w:rFonts w:hint="eastAsia" w:ascii="仿宋_GB2312" w:hAnsi="仿宋_GB2312" w:cs="仿宋_GB2312"/>
          <w:color w:val="000000" w:themeColor="text1"/>
          <w:szCs w:val="32"/>
          <w:lang w:val="en-US" w:eastAsia="zh-CN"/>
          <w14:textFill>
            <w14:solidFill>
              <w14:schemeClr w14:val="tx1"/>
            </w14:solidFill>
          </w14:textFill>
        </w:rPr>
        <w:t>燃气、</w:t>
      </w:r>
      <w:r>
        <w:rPr>
          <w:rFonts w:hint="eastAsia" w:ascii="仿宋_GB2312" w:hAnsi="仿宋_GB2312" w:cs="仿宋_GB2312"/>
          <w:color w:val="000000" w:themeColor="text1"/>
          <w:szCs w:val="32"/>
          <w14:textFill>
            <w14:solidFill>
              <w14:schemeClr w14:val="tx1"/>
            </w14:solidFill>
          </w14:textFill>
        </w:rPr>
        <w:t>拆违、市政设施维护抢修作业</w:t>
      </w:r>
      <w:r>
        <w:rPr>
          <w:rFonts w:hint="eastAsia" w:ascii="仿宋_GB2312" w:hAnsi="仿宋_GB2312" w:cs="仿宋_GB2312"/>
          <w:color w:val="000000" w:themeColor="text1"/>
          <w:szCs w:val="32"/>
          <w:lang w:eastAsia="zh-CN"/>
          <w14:textFill>
            <w14:solidFill>
              <w14:schemeClr w14:val="tx1"/>
            </w14:solidFill>
          </w14:textFill>
        </w:rPr>
        <w:t>、</w:t>
      </w:r>
      <w:r>
        <w:rPr>
          <w:rFonts w:hint="eastAsia" w:ascii="仿宋_GB2312" w:hAnsi="仿宋_GB2312" w:cs="仿宋_GB2312"/>
          <w:color w:val="000000" w:themeColor="text1"/>
          <w:szCs w:val="32"/>
          <w14:textFill>
            <w14:solidFill>
              <w14:schemeClr w14:val="tx1"/>
            </w14:solidFill>
          </w14:textFill>
        </w:rPr>
        <w:t>城市道路临时挖掘占用</w:t>
      </w:r>
      <w:r>
        <w:rPr>
          <w:rFonts w:hint="eastAsia" w:ascii="仿宋_GB2312" w:hAnsi="仿宋_GB2312" w:cs="仿宋_GB2312"/>
          <w:color w:val="000000" w:themeColor="text1"/>
          <w:szCs w:val="32"/>
          <w:lang w:eastAsia="zh-CN"/>
          <w14:textFill>
            <w14:solidFill>
              <w14:schemeClr w14:val="tx1"/>
            </w14:solidFill>
          </w14:textFill>
        </w:rPr>
        <w:t>、</w:t>
      </w:r>
      <w:r>
        <w:rPr>
          <w:rFonts w:hint="eastAsia" w:ascii="仿宋_GB2312" w:hAnsi="仿宋_GB2312" w:cs="仿宋_GB2312"/>
          <w:color w:val="000000" w:themeColor="text1"/>
          <w:szCs w:val="32"/>
          <w14:textFill>
            <w14:solidFill>
              <w14:schemeClr w14:val="tx1"/>
            </w14:solidFill>
          </w14:textFill>
        </w:rPr>
        <w:t>户外广告牌</w:t>
      </w:r>
      <w:r>
        <w:rPr>
          <w:rFonts w:hint="eastAsia" w:ascii="仿宋_GB2312" w:hAnsi="仿宋_GB2312" w:cs="仿宋_GB2312"/>
          <w:color w:val="000000" w:themeColor="text1"/>
          <w:szCs w:val="32"/>
          <w:lang w:val="en-US" w:eastAsia="zh-CN"/>
          <w14:textFill>
            <w14:solidFill>
              <w14:schemeClr w14:val="tx1"/>
            </w14:solidFill>
          </w14:textFill>
        </w:rPr>
        <w:t>安装</w:t>
      </w:r>
      <w:r>
        <w:rPr>
          <w:rFonts w:hint="eastAsia" w:ascii="仿宋_GB2312" w:hAnsi="仿宋_GB2312" w:cs="仿宋_GB2312"/>
          <w:color w:val="000000" w:themeColor="text1"/>
          <w:szCs w:val="32"/>
          <w14:textFill>
            <w14:solidFill>
              <w14:schemeClr w14:val="tx1"/>
            </w14:solidFill>
          </w14:textFill>
        </w:rPr>
        <w:t>等施工围挡的监管。</w:t>
      </w:r>
    </w:p>
    <w:p w14:paraId="00D61AD2">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（四）市交通管理部门负责交通工程围挡的监管。</w:t>
      </w:r>
    </w:p>
    <w:p w14:paraId="4F9CD8A0">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（五）市水利部门负责水利工程围挡的监管。</w:t>
      </w:r>
    </w:p>
    <w:p w14:paraId="104F1217">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hint="eastAsia"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（六）市资规部门负责国有储备土地围挡的</w:t>
      </w:r>
      <w:r>
        <w:rPr>
          <w:rFonts w:hint="eastAsia" w:ascii="仿宋_GB2312" w:hAnsi="仿宋_GB2312" w:cs="仿宋_GB2312"/>
          <w:color w:val="000000" w:themeColor="text1"/>
          <w:szCs w:val="32"/>
          <w:lang w:val="en-US" w:eastAsia="zh-CN"/>
          <w14:textFill>
            <w14:solidFill>
              <w14:schemeClr w14:val="tx1"/>
            </w14:solidFill>
          </w14:textFill>
        </w:rPr>
        <w:t>设置和</w:t>
      </w:r>
      <w:r>
        <w:rPr>
          <w:rFonts w:hint="eastAsia" w:ascii="仿宋_GB2312" w:hAnsi="仿宋_GB2312" w:cs="仿宋_GB2312"/>
          <w:color w:val="000000" w:themeColor="text1"/>
          <w:szCs w:val="32"/>
          <w14:textFill>
            <w14:solidFill>
              <w14:schemeClr w14:val="tx1"/>
            </w14:solidFill>
          </w14:textFill>
        </w:rPr>
        <w:t>监管。</w:t>
      </w:r>
    </w:p>
    <w:p w14:paraId="7F529837">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（七）市公安交警部门负责做好道路上的围挡设置及围挡出入口的交通安全影响评价工作。</w:t>
      </w:r>
    </w:p>
    <w:p w14:paraId="4C18F9E7">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w:t>
      </w:r>
      <w:r>
        <w:rPr>
          <w:rFonts w:hint="eastAsia" w:ascii="仿宋_GB2312" w:hAnsi="仿宋_GB2312" w:cs="仿宋_GB2312"/>
          <w:color w:val="000000" w:themeColor="text1"/>
          <w:szCs w:val="32"/>
          <w:lang w:val="en-US" w:eastAsia="zh-CN"/>
          <w14:textFill>
            <w14:solidFill>
              <w14:schemeClr w14:val="tx1"/>
            </w14:solidFill>
          </w14:textFill>
        </w:rPr>
        <w:t>八</w:t>
      </w:r>
      <w:r>
        <w:rPr>
          <w:rFonts w:hint="eastAsia" w:ascii="仿宋_GB2312" w:hAnsi="仿宋_GB2312" w:cs="仿宋_GB2312"/>
          <w:color w:val="000000" w:themeColor="text1"/>
          <w:szCs w:val="32"/>
          <w14:textFill>
            <w14:solidFill>
              <w14:schemeClr w14:val="tx1"/>
            </w14:solidFill>
          </w14:textFill>
        </w:rPr>
        <w:t>）电力、</w:t>
      </w:r>
      <w:r>
        <w:rPr>
          <w:rFonts w:hint="eastAsia" w:ascii="仿宋_GB2312" w:hAnsi="仿宋_GB2312" w:cs="仿宋_GB2312"/>
          <w:color w:val="000000" w:themeColor="text1"/>
          <w:szCs w:val="32"/>
          <w:lang w:eastAsia="zh-CN"/>
          <w14:textFill>
            <w14:solidFill>
              <w14:schemeClr w14:val="tx1"/>
            </w14:solidFill>
          </w14:textFill>
        </w:rPr>
        <w:t>通信</w:t>
      </w:r>
      <w:r>
        <w:rPr>
          <w:rFonts w:hint="eastAsia" w:ascii="仿宋_GB2312" w:hAnsi="仿宋_GB2312" w:cs="仿宋_GB2312"/>
          <w:color w:val="000000" w:themeColor="text1"/>
          <w:szCs w:val="32"/>
          <w14:textFill>
            <w14:solidFill>
              <w14:schemeClr w14:val="tx1"/>
            </w14:solidFill>
          </w14:textFill>
        </w:rPr>
        <w:t>、供水等相关部门按照各自职责，负责相应行业施工围挡的监管。</w:t>
      </w:r>
    </w:p>
    <w:p w14:paraId="13D9C643">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w:t>
      </w:r>
      <w:r>
        <w:rPr>
          <w:rFonts w:hint="eastAsia" w:ascii="仿宋_GB2312" w:hAnsi="仿宋_GB2312" w:cs="仿宋_GB2312"/>
          <w:color w:val="000000" w:themeColor="text1"/>
          <w:szCs w:val="32"/>
          <w:lang w:val="en-US" w:eastAsia="zh-CN"/>
          <w14:textFill>
            <w14:solidFill>
              <w14:schemeClr w14:val="tx1"/>
            </w14:solidFill>
          </w14:textFill>
        </w:rPr>
        <w:t>九</w:t>
      </w:r>
      <w:r>
        <w:rPr>
          <w:rFonts w:hint="eastAsia" w:ascii="仿宋_GB2312" w:hAnsi="仿宋_GB2312" w:cs="仿宋_GB2312"/>
          <w:color w:val="000000" w:themeColor="text1"/>
          <w:szCs w:val="32"/>
          <w14:textFill>
            <w14:solidFill>
              <w14:schemeClr w14:val="tx1"/>
            </w14:solidFill>
          </w14:textFill>
        </w:rPr>
        <w:t>）各街道办事处负责辖区</w:t>
      </w:r>
      <w:r>
        <w:rPr>
          <w:rFonts w:hint="eastAsia" w:ascii="仿宋_GB2312" w:hAnsi="仿宋_GB2312" w:cs="仿宋_GB2312"/>
          <w:color w:val="000000" w:themeColor="text1"/>
          <w:szCs w:val="32"/>
          <w:lang w:eastAsia="zh-CN"/>
          <w14:textFill>
            <w14:solidFill>
              <w14:schemeClr w14:val="tx1"/>
            </w14:solidFill>
          </w14:textFill>
        </w:rPr>
        <w:t>内</w:t>
      </w:r>
      <w:r>
        <w:rPr>
          <w:rFonts w:hint="eastAsia" w:ascii="仿宋_GB2312" w:hAnsi="仿宋_GB2312" w:cs="仿宋_GB2312"/>
          <w:color w:val="000000" w:themeColor="text1"/>
          <w:szCs w:val="32"/>
          <w14:textFill>
            <w14:solidFill>
              <w14:schemeClr w14:val="tx1"/>
            </w14:solidFill>
          </w14:textFill>
        </w:rPr>
        <w:t>未办理施工许可证</w:t>
      </w:r>
      <w:r>
        <w:rPr>
          <w:rFonts w:hint="eastAsia" w:ascii="仿宋_GB2312" w:hAnsi="仿宋_GB2312" w:cs="仿宋_GB2312"/>
          <w:color w:val="000000" w:themeColor="text1"/>
          <w:szCs w:val="32"/>
          <w:lang w:eastAsia="zh-CN"/>
          <w14:textFill>
            <w14:solidFill>
              <w14:schemeClr w14:val="tx1"/>
            </w14:solidFill>
          </w14:textFill>
        </w:rPr>
        <w:t>的</w:t>
      </w:r>
      <w:r>
        <w:rPr>
          <w:rFonts w:hint="eastAsia" w:ascii="仿宋_GB2312" w:hAnsi="仿宋_GB2312" w:cs="仿宋_GB2312"/>
          <w:color w:val="000000" w:themeColor="text1"/>
          <w:szCs w:val="32"/>
          <w14:textFill>
            <w14:solidFill>
              <w14:schemeClr w14:val="tx1"/>
            </w14:solidFill>
          </w14:textFill>
        </w:rPr>
        <w:t>工程</w:t>
      </w:r>
      <w:r>
        <w:rPr>
          <w:rFonts w:hint="eastAsia" w:ascii="仿宋_GB2312" w:hAnsi="仿宋_GB2312" w:cs="仿宋_GB2312"/>
          <w:color w:val="000000" w:themeColor="text1"/>
          <w:szCs w:val="32"/>
          <w:lang w:eastAsia="zh-CN"/>
          <w14:textFill>
            <w14:solidFill>
              <w14:schemeClr w14:val="tx1"/>
            </w14:solidFill>
          </w14:textFill>
        </w:rPr>
        <w:t>、小散工程、零星作业</w:t>
      </w:r>
      <w:r>
        <w:rPr>
          <w:rFonts w:hint="eastAsia" w:ascii="仿宋_GB2312" w:hAnsi="仿宋_GB2312" w:cs="仿宋_GB2312"/>
          <w:color w:val="000000" w:themeColor="text1"/>
          <w:szCs w:val="32"/>
          <w14:textFill>
            <w14:solidFill>
              <w14:schemeClr w14:val="tx1"/>
            </w14:solidFill>
          </w14:textFill>
        </w:rPr>
        <w:t>围挡的监管。</w:t>
      </w:r>
    </w:p>
    <w:p w14:paraId="2D979416">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b/>
          <w:bCs/>
          <w:color w:val="000000" w:themeColor="text1"/>
          <w:szCs w:val="32"/>
          <w:lang w:val="en-US" w:eastAsia="zh-CN"/>
          <w14:textFill>
            <w14:solidFill>
              <w14:schemeClr w14:val="tx1"/>
            </w14:solidFill>
          </w14:textFill>
        </w:rPr>
        <w:t>第五条</w:t>
      </w:r>
      <w:r>
        <w:rPr>
          <w:rFonts w:hint="eastAsia" w:ascii="仿宋_GB2312" w:hAnsi="仿宋_GB2312" w:cs="仿宋_GB2312"/>
          <w:color w:val="000000" w:themeColor="text1"/>
          <w:szCs w:val="32"/>
          <w:lang w:val="en-US" w:eastAsia="zh-CN"/>
          <w14:textFill>
            <w14:solidFill>
              <w14:schemeClr w14:val="tx1"/>
            </w14:solidFill>
          </w14:textFill>
        </w:rPr>
        <w:t xml:space="preserve"> 对建设工程围挡的设置、日常管理、拆除，</w:t>
      </w:r>
      <w:r>
        <w:rPr>
          <w:rFonts w:hint="eastAsia" w:ascii="仿宋_GB2312" w:hAnsi="仿宋_GB2312" w:cs="仿宋_GB2312"/>
          <w:color w:val="000000" w:themeColor="text1"/>
          <w:szCs w:val="32"/>
          <w14:textFill>
            <w14:solidFill>
              <w14:schemeClr w14:val="tx1"/>
            </w14:solidFill>
          </w14:textFill>
        </w:rPr>
        <w:t>项目建设单位负首要责任，施工单位负主体责任，监理单位负监理责任。</w:t>
      </w:r>
    </w:p>
    <w:p w14:paraId="48708E26">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p>
    <w:p w14:paraId="4BF93843">
      <w:pPr>
        <w:keepNext w:val="0"/>
        <w:keepLines w:val="0"/>
        <w:pageBreakBefore w:val="0"/>
        <w:widowControl w:val="0"/>
        <w:kinsoku/>
        <w:overflowPunct/>
        <w:topLinePunct w:val="0"/>
        <w:autoSpaceDN/>
        <w:bidi w:val="0"/>
        <w:adjustRightInd/>
        <w:snapToGrid/>
        <w:spacing w:line="560" w:lineRule="exact"/>
        <w:jc w:val="center"/>
        <w:textAlignment w:val="auto"/>
        <w:rPr>
          <w:rFonts w:ascii="仿宋_GB2312" w:hAnsi="仿宋_GB2312" w:cs="仿宋_GB2312"/>
          <w:b/>
          <w:bCs/>
          <w:color w:val="000000" w:themeColor="text1"/>
          <w:szCs w:val="32"/>
          <w14:textFill>
            <w14:solidFill>
              <w14:schemeClr w14:val="tx1"/>
            </w14:solidFill>
          </w14:textFill>
        </w:rPr>
      </w:pPr>
      <w:r>
        <w:rPr>
          <w:rFonts w:hint="eastAsia" w:ascii="黑体" w:hAnsi="黑体" w:eastAsia="黑体" w:cs="黑体"/>
          <w:color w:val="000000" w:themeColor="text1"/>
          <w:szCs w:val="32"/>
          <w14:textFill>
            <w14:solidFill>
              <w14:schemeClr w14:val="tx1"/>
            </w14:solidFill>
          </w14:textFill>
        </w:rPr>
        <w:t>第三章  围挡设置</w:t>
      </w:r>
    </w:p>
    <w:p w14:paraId="5139447C">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b/>
          <w:bCs/>
          <w:color w:val="000000" w:themeColor="text1"/>
          <w:szCs w:val="32"/>
          <w14:textFill>
            <w14:solidFill>
              <w14:schemeClr w14:val="tx1"/>
            </w14:solidFill>
          </w14:textFill>
        </w:rPr>
        <w:t>第</w:t>
      </w:r>
      <w:r>
        <w:rPr>
          <w:rFonts w:hint="eastAsia" w:ascii="仿宋_GB2312" w:hAnsi="仿宋_GB2312" w:cs="仿宋_GB2312"/>
          <w:b/>
          <w:bCs/>
          <w:color w:val="000000" w:themeColor="text1"/>
          <w:szCs w:val="32"/>
          <w:lang w:val="en-US" w:eastAsia="zh-CN"/>
          <w14:textFill>
            <w14:solidFill>
              <w14:schemeClr w14:val="tx1"/>
            </w14:solidFill>
          </w14:textFill>
        </w:rPr>
        <w:t>六</w:t>
      </w:r>
      <w:r>
        <w:rPr>
          <w:rFonts w:hint="eastAsia" w:ascii="仿宋_GB2312" w:hAnsi="仿宋_GB2312" w:cs="仿宋_GB2312"/>
          <w:b/>
          <w:bCs/>
          <w:color w:val="000000" w:themeColor="text1"/>
          <w:szCs w:val="32"/>
          <w14:textFill>
            <w14:solidFill>
              <w14:schemeClr w14:val="tx1"/>
            </w14:solidFill>
          </w14:textFill>
        </w:rPr>
        <w:t xml:space="preserve">条 </w:t>
      </w:r>
      <w:r>
        <w:rPr>
          <w:rFonts w:hint="eastAsia" w:ascii="仿宋_GB2312" w:hAnsi="仿宋_GB2312" w:cs="仿宋_GB2312"/>
          <w:color w:val="000000" w:themeColor="text1"/>
          <w:szCs w:val="32"/>
          <w14:textFill>
            <w14:solidFill>
              <w14:schemeClr w14:val="tx1"/>
            </w14:solidFill>
          </w14:textFill>
        </w:rPr>
        <w:t>房屋建筑工程围挡设置标准如下：</w:t>
      </w:r>
    </w:p>
    <w:p w14:paraId="291E3D8D">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（一）应</w:t>
      </w:r>
      <w:r>
        <w:rPr>
          <w:rFonts w:hint="eastAsia" w:ascii="仿宋_GB2312" w:hAnsi="仿宋_GB2312" w:cs="仿宋_GB2312"/>
          <w:color w:val="000000" w:themeColor="text1"/>
          <w:szCs w:val="32"/>
          <w:lang w:val="en-US" w:eastAsia="zh-CN"/>
          <w14:textFill>
            <w14:solidFill>
              <w14:schemeClr w14:val="tx1"/>
            </w14:solidFill>
          </w14:textFill>
        </w:rPr>
        <w:t>采用</w:t>
      </w:r>
      <w:r>
        <w:rPr>
          <w:rFonts w:hint="eastAsia" w:ascii="仿宋_GB2312" w:hAnsi="仿宋_GB2312" w:cs="仿宋_GB2312"/>
          <w:color w:val="000000" w:themeColor="text1"/>
          <w:szCs w:val="32"/>
          <w14:textFill>
            <w14:solidFill>
              <w14:schemeClr w14:val="tx1"/>
            </w14:solidFill>
          </w14:textFill>
        </w:rPr>
        <w:t>钢结构固定</w:t>
      </w:r>
      <w:r>
        <w:rPr>
          <w:rFonts w:hint="eastAsia" w:ascii="仿宋_GB2312" w:hAnsi="仿宋_GB2312" w:cs="仿宋_GB2312"/>
          <w:color w:val="000000" w:themeColor="text1"/>
          <w:szCs w:val="32"/>
          <w:lang w:val="en-US" w:eastAsia="zh-CN"/>
          <w14:textFill>
            <w14:solidFill>
              <w14:schemeClr w14:val="tx1"/>
            </w14:solidFill>
          </w14:textFill>
        </w:rPr>
        <w:t>式</w:t>
      </w:r>
      <w:r>
        <w:rPr>
          <w:rFonts w:hint="eastAsia" w:ascii="仿宋_GB2312" w:hAnsi="仿宋_GB2312" w:cs="仿宋_GB2312"/>
          <w:color w:val="000000" w:themeColor="text1"/>
          <w:szCs w:val="32"/>
          <w14:textFill>
            <w14:solidFill>
              <w14:schemeClr w14:val="tx1"/>
            </w14:solidFill>
          </w14:textFill>
        </w:rPr>
        <w:t>围挡，</w:t>
      </w:r>
      <w:r>
        <w:rPr>
          <w:rFonts w:hint="eastAsia" w:ascii="仿宋_GB2312" w:hAnsi="仿宋_GB2312" w:cs="仿宋_GB2312"/>
          <w:color w:val="000000" w:themeColor="text1"/>
          <w:szCs w:val="32"/>
          <w:lang w:val="en-US" w:eastAsia="zh-CN"/>
          <w14:textFill>
            <w14:solidFill>
              <w14:schemeClr w14:val="tx1"/>
            </w14:solidFill>
          </w14:textFill>
        </w:rPr>
        <w:t>围挡</w:t>
      </w:r>
      <w:r>
        <w:rPr>
          <w:rFonts w:hint="eastAsia" w:ascii="仿宋_GB2312" w:hAnsi="仿宋_GB2312" w:cs="仿宋_GB2312"/>
          <w:color w:val="000000" w:themeColor="text1"/>
          <w:szCs w:val="32"/>
          <w14:textFill>
            <w14:solidFill>
              <w14:schemeClr w14:val="tx1"/>
            </w14:solidFill>
          </w14:textFill>
        </w:rPr>
        <w:t>沿工地四周连续封闭设置</w:t>
      </w:r>
      <w:r>
        <w:rPr>
          <w:rFonts w:hint="eastAsia" w:ascii="仿宋_GB2312" w:hAnsi="仿宋_GB2312" w:cs="仿宋_GB2312"/>
          <w:color w:val="000000" w:themeColor="text1"/>
          <w:szCs w:val="32"/>
          <w:lang w:eastAsia="zh-CN"/>
          <w14:textFill>
            <w14:solidFill>
              <w14:schemeClr w14:val="tx1"/>
            </w14:solidFill>
          </w14:textFill>
        </w:rPr>
        <w:t>，</w:t>
      </w:r>
      <w:r>
        <w:rPr>
          <w:rFonts w:hint="eastAsia" w:ascii="仿宋_GB2312" w:hAnsi="仿宋_GB2312" w:cs="仿宋_GB2312"/>
          <w:color w:val="000000" w:themeColor="text1"/>
          <w:szCs w:val="32"/>
          <w14:textFill>
            <w14:solidFill>
              <w14:schemeClr w14:val="tx1"/>
            </w14:solidFill>
          </w14:textFill>
        </w:rPr>
        <w:t>围挡面层采用彩钢板或钢丝网，同一工程应采用同一材质</w:t>
      </w:r>
      <w:r>
        <w:rPr>
          <w:rFonts w:hint="eastAsia" w:ascii="仿宋_GB2312" w:hAnsi="仿宋_GB2312" w:cs="仿宋_GB2312"/>
          <w:color w:val="000000" w:themeColor="text1"/>
          <w:szCs w:val="32"/>
          <w:lang w:eastAsia="zh-CN"/>
          <w14:textFill>
            <w14:solidFill>
              <w14:schemeClr w14:val="tx1"/>
            </w14:solidFill>
          </w14:textFill>
        </w:rPr>
        <w:t>。</w:t>
      </w:r>
      <w:r>
        <w:rPr>
          <w:rFonts w:hint="eastAsia" w:ascii="仿宋_GB2312" w:hAnsi="仿宋_GB2312" w:cs="仿宋_GB2312"/>
          <w:color w:val="000000" w:themeColor="text1"/>
          <w:szCs w:val="32"/>
          <w:lang w:val="en-US" w:eastAsia="zh-CN"/>
          <w14:textFill>
            <w14:solidFill>
              <w14:schemeClr w14:val="tx1"/>
            </w14:solidFill>
          </w14:textFill>
        </w:rPr>
        <w:t>城区内</w:t>
      </w:r>
      <w:r>
        <w:rPr>
          <w:rFonts w:hint="eastAsia" w:ascii="仿宋_GB2312" w:hAnsi="仿宋_GB2312" w:cs="仿宋_GB2312"/>
          <w:color w:val="000000" w:themeColor="text1"/>
          <w:szCs w:val="32"/>
          <w14:textFill>
            <w14:solidFill>
              <w14:schemeClr w14:val="tx1"/>
            </w14:solidFill>
          </w14:textFill>
        </w:rPr>
        <w:t>施工围挡高度不得低于2.5m、原则上不得高于5.0m。</w:t>
      </w:r>
    </w:p>
    <w:p w14:paraId="1DDC2017">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二）围挡基础埋置深度、结构形式、围挡骨架应根据地质情况和环境状况确定，建设单位应确保围挡安全；围挡下部应设置不小于300mm高的防溢基座，控制垃圾、泥浆、水外流，围挡外侧与道路、绿化做好衔接措施；围挡上方应设置喷淋设施，喷头向着工地内，喷头安装高度不低于0.2m，间距不大于2.0m，减少施工扬尘。</w:t>
      </w:r>
    </w:p>
    <w:p w14:paraId="050CFC2F">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hint="eastAsia"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（三）若采用砌体围挡，则砌体厚度不得小于2</w:t>
      </w:r>
      <w:r>
        <w:rPr>
          <w:rFonts w:hint="eastAsia" w:ascii="仿宋_GB2312" w:hAnsi="仿宋_GB2312" w:cs="仿宋_GB2312"/>
          <w:color w:val="000000" w:themeColor="text1"/>
          <w:szCs w:val="32"/>
          <w:lang w:val="en-US" w:eastAsia="zh-CN"/>
          <w14:textFill>
            <w14:solidFill>
              <w14:schemeClr w14:val="tx1"/>
            </w14:solidFill>
          </w14:textFill>
        </w:rPr>
        <w:t>40</w:t>
      </w:r>
      <w:r>
        <w:rPr>
          <w:rFonts w:hint="eastAsia" w:ascii="仿宋_GB2312" w:hAnsi="仿宋_GB2312" w:cs="仿宋_GB2312"/>
          <w:color w:val="000000" w:themeColor="text1"/>
          <w:szCs w:val="32"/>
          <w14:textFill>
            <w14:solidFill>
              <w14:schemeClr w14:val="tx1"/>
            </w14:solidFill>
          </w14:textFill>
        </w:rPr>
        <w:t>mm，砌体围护结构应设置混凝土墙柱，墙柱间距不得大于5.0m，</w:t>
      </w:r>
      <w:r>
        <w:rPr>
          <w:rFonts w:hint="eastAsia" w:ascii="仿宋_GB2312" w:hAnsi="仿宋_GB2312" w:cs="仿宋_GB2312"/>
          <w:color w:val="000000" w:themeColor="text1"/>
          <w:szCs w:val="32"/>
          <w:lang w:val="en-US" w:eastAsia="zh-CN"/>
          <w14:textFill>
            <w14:solidFill>
              <w14:schemeClr w14:val="tx1"/>
            </w14:solidFill>
          </w14:textFill>
        </w:rPr>
        <w:t>且</w:t>
      </w:r>
      <w:r>
        <w:rPr>
          <w:rFonts w:hint="eastAsia" w:ascii="仿宋_GB2312" w:hAnsi="仿宋_GB2312" w:cs="仿宋_GB2312"/>
          <w:color w:val="000000" w:themeColor="text1"/>
          <w:szCs w:val="32"/>
          <w14:textFill>
            <w14:solidFill>
              <w14:schemeClr w14:val="tx1"/>
            </w14:solidFill>
          </w14:textFill>
        </w:rPr>
        <w:t>不得采用空筒壁法。</w:t>
      </w:r>
    </w:p>
    <w:p w14:paraId="3AFB11B4">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hint="eastAsia"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（四）临街店面装修围挡应采用硬质材料，围挡不得占压损坏绿化设施，外侧不得有凸出物，尽量减少占压人行道和盲道。需要进行高处施工作业的，应先做好临街安全防护措施，保障过往行人安全。</w:t>
      </w:r>
    </w:p>
    <w:p w14:paraId="73833F89">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w:t>
      </w:r>
      <w:r>
        <w:rPr>
          <w:rFonts w:hint="eastAsia" w:ascii="仿宋_GB2312" w:hAnsi="仿宋_GB2312" w:cs="仿宋_GB2312"/>
          <w:color w:val="000000" w:themeColor="text1"/>
          <w:szCs w:val="32"/>
          <w:lang w:eastAsia="zh-CN"/>
          <w14:textFill>
            <w14:solidFill>
              <w14:schemeClr w14:val="tx1"/>
            </w14:solidFill>
          </w14:textFill>
        </w:rPr>
        <w:t>五</w:t>
      </w:r>
      <w:r>
        <w:rPr>
          <w:rFonts w:hint="eastAsia" w:ascii="仿宋_GB2312" w:hAnsi="仿宋_GB2312" w:cs="仿宋_GB2312"/>
          <w:color w:val="000000" w:themeColor="text1"/>
          <w:szCs w:val="32"/>
          <w14:textFill>
            <w14:solidFill>
              <w14:schemeClr w14:val="tx1"/>
            </w14:solidFill>
          </w14:textFill>
        </w:rPr>
        <w:t>）</w:t>
      </w:r>
      <w:r>
        <w:rPr>
          <w:rFonts w:hint="eastAsia" w:ascii="仿宋_GB2312" w:hAnsi="仿宋_GB2312" w:cs="仿宋_GB2312"/>
          <w:color w:val="000000" w:themeColor="text1"/>
          <w:szCs w:val="32"/>
          <w:lang w:eastAsia="zh-CN"/>
          <w14:textFill>
            <w14:solidFill>
              <w14:schemeClr w14:val="tx1"/>
            </w14:solidFill>
          </w14:textFill>
        </w:rPr>
        <w:t>房屋</w:t>
      </w:r>
      <w:r>
        <w:rPr>
          <w:rFonts w:hint="eastAsia" w:ascii="仿宋_GB2312" w:hAnsi="仿宋_GB2312" w:cs="仿宋_GB2312"/>
          <w:color w:val="000000" w:themeColor="text1"/>
          <w:szCs w:val="32"/>
          <w14:textFill>
            <w14:solidFill>
              <w14:schemeClr w14:val="tx1"/>
            </w14:solidFill>
          </w14:textFill>
        </w:rPr>
        <w:t>拆除工程</w:t>
      </w:r>
      <w:r>
        <w:rPr>
          <w:rFonts w:hint="eastAsia" w:ascii="仿宋_GB2312" w:hAnsi="仿宋_GB2312" w:cs="仿宋_GB2312"/>
          <w:color w:val="000000" w:themeColor="text1"/>
          <w:szCs w:val="32"/>
          <w:lang w:eastAsia="zh-CN"/>
          <w14:textFill>
            <w14:solidFill>
              <w14:schemeClr w14:val="tx1"/>
            </w14:solidFill>
          </w14:textFill>
        </w:rPr>
        <w:t>、</w:t>
      </w:r>
      <w:r>
        <w:rPr>
          <w:rFonts w:hint="eastAsia" w:ascii="仿宋_GB2312" w:hAnsi="仿宋_GB2312" w:cs="仿宋_GB2312"/>
          <w:color w:val="000000" w:themeColor="text1"/>
          <w:szCs w:val="32"/>
          <w:lang w:val="en-US" w:eastAsia="zh-CN"/>
          <w14:textFill>
            <w14:solidFill>
              <w14:schemeClr w14:val="tx1"/>
            </w14:solidFill>
          </w14:textFill>
        </w:rPr>
        <w:t>国有储备土地</w:t>
      </w:r>
      <w:r>
        <w:rPr>
          <w:rFonts w:hint="eastAsia" w:ascii="仿宋_GB2312" w:hAnsi="仿宋_GB2312" w:cs="仿宋_GB2312"/>
          <w:color w:val="000000" w:themeColor="text1"/>
          <w:szCs w:val="32"/>
          <w14:textFill>
            <w14:solidFill>
              <w14:schemeClr w14:val="tx1"/>
            </w14:solidFill>
          </w14:textFill>
        </w:rPr>
        <w:t>围挡参照上述标准</w:t>
      </w:r>
      <w:r>
        <w:rPr>
          <w:rFonts w:hint="eastAsia" w:ascii="仿宋_GB2312" w:hAnsi="仿宋_GB2312" w:cs="仿宋_GB2312"/>
          <w:color w:val="000000" w:themeColor="text1"/>
          <w:szCs w:val="32"/>
          <w:lang w:eastAsia="zh-CN"/>
          <w14:textFill>
            <w14:solidFill>
              <w14:schemeClr w14:val="tx1"/>
            </w14:solidFill>
          </w14:textFill>
        </w:rPr>
        <w:t>执行</w:t>
      </w:r>
      <w:r>
        <w:rPr>
          <w:rFonts w:hint="eastAsia" w:ascii="仿宋_GB2312" w:hAnsi="仿宋_GB2312" w:cs="仿宋_GB2312"/>
          <w:color w:val="000000" w:themeColor="text1"/>
          <w:szCs w:val="32"/>
          <w14:textFill>
            <w14:solidFill>
              <w14:schemeClr w14:val="tx1"/>
            </w14:solidFill>
          </w14:textFill>
        </w:rPr>
        <w:t>。</w:t>
      </w:r>
    </w:p>
    <w:p w14:paraId="6A5A7B17">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楷体_GB2312" w:hAnsi="楷体_GB2312" w:eastAsia="楷体_GB2312" w:cs="楷体_GB2312"/>
          <w:b/>
          <w:bCs/>
          <w:color w:val="000000" w:themeColor="text1"/>
          <w:szCs w:val="32"/>
          <w14:textFill>
            <w14:solidFill>
              <w14:schemeClr w14:val="tx1"/>
            </w14:solidFill>
          </w14:textFill>
        </w:rPr>
      </w:pPr>
      <w:r>
        <w:rPr>
          <w:rFonts w:hint="eastAsia" w:ascii="仿宋_GB2312" w:hAnsi="仿宋_GB2312" w:cs="仿宋_GB2312"/>
          <w:b/>
          <w:bCs/>
          <w:color w:val="000000" w:themeColor="text1"/>
          <w:szCs w:val="32"/>
          <w14:textFill>
            <w14:solidFill>
              <w14:schemeClr w14:val="tx1"/>
            </w14:solidFill>
          </w14:textFill>
        </w:rPr>
        <w:t>第</w:t>
      </w:r>
      <w:r>
        <w:rPr>
          <w:rFonts w:hint="eastAsia" w:ascii="仿宋_GB2312" w:hAnsi="仿宋_GB2312" w:cs="仿宋_GB2312"/>
          <w:b/>
          <w:bCs/>
          <w:color w:val="000000" w:themeColor="text1"/>
          <w:szCs w:val="32"/>
          <w:lang w:val="en-US" w:eastAsia="zh-CN"/>
          <w14:textFill>
            <w14:solidFill>
              <w14:schemeClr w14:val="tx1"/>
            </w14:solidFill>
          </w14:textFill>
        </w:rPr>
        <w:t>七</w:t>
      </w:r>
      <w:r>
        <w:rPr>
          <w:rFonts w:hint="eastAsia" w:ascii="仿宋_GB2312" w:hAnsi="仿宋_GB2312" w:cs="仿宋_GB2312"/>
          <w:b/>
          <w:bCs/>
          <w:color w:val="000000" w:themeColor="text1"/>
          <w:szCs w:val="32"/>
          <w14:textFill>
            <w14:solidFill>
              <w14:schemeClr w14:val="tx1"/>
            </w14:solidFill>
          </w14:textFill>
        </w:rPr>
        <w:t>条</w:t>
      </w:r>
      <w:r>
        <w:rPr>
          <w:rFonts w:hint="eastAsia" w:ascii="仿宋_GB2312" w:hAnsi="仿宋_GB2312" w:cs="仿宋_GB2312"/>
          <w:color w:val="000000" w:themeColor="text1"/>
          <w:szCs w:val="32"/>
          <w14:textFill>
            <w14:solidFill>
              <w14:schemeClr w14:val="tx1"/>
            </w14:solidFill>
          </w14:textFill>
        </w:rPr>
        <w:t xml:space="preserve"> 市政基础设施</w:t>
      </w:r>
      <w:r>
        <w:rPr>
          <w:rFonts w:hint="eastAsia" w:ascii="仿宋_GB2312" w:hAnsi="仿宋_GB2312" w:cs="仿宋_GB2312"/>
          <w:color w:val="000000" w:themeColor="text1"/>
          <w:szCs w:val="32"/>
          <w:lang w:eastAsia="zh-CN"/>
          <w14:textFill>
            <w14:solidFill>
              <w14:schemeClr w14:val="tx1"/>
            </w14:solidFill>
          </w14:textFill>
        </w:rPr>
        <w:t>、</w:t>
      </w:r>
      <w:r>
        <w:rPr>
          <w:rFonts w:hint="eastAsia" w:ascii="仿宋_GB2312" w:hAnsi="仿宋_GB2312" w:cs="仿宋_GB2312"/>
          <w:color w:val="000000" w:themeColor="text1"/>
          <w:szCs w:val="32"/>
          <w:lang w:val="en-US" w:eastAsia="zh-CN"/>
          <w14:textFill>
            <w14:solidFill>
              <w14:schemeClr w14:val="tx1"/>
            </w14:solidFill>
          </w14:textFill>
        </w:rPr>
        <w:t>交通、水利、装饰装修</w:t>
      </w:r>
      <w:r>
        <w:rPr>
          <w:rFonts w:hint="eastAsia" w:ascii="仿宋_GB2312" w:hAnsi="仿宋_GB2312" w:cs="仿宋_GB2312"/>
          <w:color w:val="000000" w:themeColor="text1"/>
          <w:szCs w:val="32"/>
          <w14:textFill>
            <w14:solidFill>
              <w14:schemeClr w14:val="tx1"/>
            </w14:solidFill>
          </w14:textFill>
        </w:rPr>
        <w:t>工程按照施工工期分为临时围挡（工期7天以内）、短期围挡（工期</w:t>
      </w:r>
      <w:r>
        <w:rPr>
          <w:rFonts w:hint="eastAsia" w:ascii="仿宋_GB2312" w:hAnsi="仿宋_GB2312" w:cs="仿宋_GB2312"/>
          <w:color w:val="000000" w:themeColor="text1"/>
          <w:szCs w:val="32"/>
          <w:lang w:val="en-US" w:eastAsia="zh-CN"/>
          <w14:textFill>
            <w14:solidFill>
              <w14:schemeClr w14:val="tx1"/>
            </w14:solidFill>
          </w14:textFill>
        </w:rPr>
        <w:t>小于</w:t>
      </w:r>
      <w:r>
        <w:rPr>
          <w:rFonts w:hint="eastAsia" w:ascii="仿宋_GB2312" w:hAnsi="仿宋_GB2312" w:cs="仿宋_GB2312"/>
          <w:color w:val="000000" w:themeColor="text1"/>
          <w:szCs w:val="32"/>
          <w14:textFill>
            <w14:solidFill>
              <w14:schemeClr w14:val="tx1"/>
            </w14:solidFill>
          </w14:textFill>
        </w:rPr>
        <w:t>30天）、长期围挡（工期30天及以上）三类。设置标准如下：</w:t>
      </w:r>
    </w:p>
    <w:p w14:paraId="55C3A872">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（一）临时围挡（工期7天以内）</w:t>
      </w:r>
      <w:r>
        <w:rPr>
          <w:rFonts w:hint="eastAsia" w:ascii="仿宋_GB2312" w:hAnsi="仿宋_GB2312" w:cs="仿宋_GB2312"/>
          <w:color w:val="000000" w:themeColor="text1"/>
          <w:szCs w:val="32"/>
          <w:lang w:eastAsia="zh-CN"/>
          <w14:textFill>
            <w14:solidFill>
              <w14:schemeClr w14:val="tx1"/>
            </w14:solidFill>
          </w14:textFill>
        </w:rPr>
        <w:t>。</w:t>
      </w:r>
      <w:r>
        <w:rPr>
          <w:rFonts w:hint="eastAsia" w:ascii="仿宋_GB2312" w:hAnsi="仿宋_GB2312" w:cs="仿宋_GB2312"/>
          <w:color w:val="000000" w:themeColor="text1"/>
          <w:szCs w:val="32"/>
          <w14:textFill>
            <w14:solidFill>
              <w14:schemeClr w14:val="tx1"/>
            </w14:solidFill>
          </w14:textFill>
        </w:rPr>
        <w:t>宜采用标准密扣式钢围栏或水马围栏等可移动围挡</w:t>
      </w:r>
      <w:r>
        <w:rPr>
          <w:rFonts w:hint="eastAsia" w:ascii="仿宋_GB2312" w:hAnsi="仿宋_GB2312" w:cs="仿宋_GB2312"/>
          <w:color w:val="000000" w:themeColor="text1"/>
          <w:szCs w:val="32"/>
          <w:lang w:eastAsia="zh-CN"/>
          <w14:textFill>
            <w14:solidFill>
              <w14:schemeClr w14:val="tx1"/>
            </w14:solidFill>
          </w14:textFill>
        </w:rPr>
        <w:t>。</w:t>
      </w:r>
      <w:r>
        <w:rPr>
          <w:rFonts w:hint="eastAsia" w:ascii="仿宋_GB2312" w:hAnsi="仿宋_GB2312" w:cs="仿宋_GB2312"/>
          <w:color w:val="000000" w:themeColor="text1"/>
          <w:szCs w:val="32"/>
          <w:lang w:val="en-US" w:eastAsia="zh-CN"/>
          <w14:textFill>
            <w14:solidFill>
              <w14:schemeClr w14:val="tx1"/>
            </w14:solidFill>
          </w14:textFill>
        </w:rPr>
        <w:t>围挡</w:t>
      </w:r>
      <w:r>
        <w:rPr>
          <w:rFonts w:hint="eastAsia" w:ascii="仿宋_GB2312" w:hAnsi="仿宋_GB2312" w:cs="仿宋_GB2312"/>
          <w:color w:val="000000" w:themeColor="text1"/>
          <w:szCs w:val="32"/>
          <w14:textFill>
            <w14:solidFill>
              <w14:schemeClr w14:val="tx1"/>
            </w14:solidFill>
          </w14:textFill>
        </w:rPr>
        <w:t>应沿工地四周连续</w:t>
      </w:r>
      <w:r>
        <w:rPr>
          <w:rFonts w:hint="eastAsia" w:ascii="仿宋_GB2312" w:hAnsi="仿宋_GB2312" w:cs="仿宋_GB2312"/>
          <w:color w:val="000000" w:themeColor="text1"/>
          <w:szCs w:val="32"/>
          <w:lang w:val="en-US" w:eastAsia="zh-CN"/>
          <w14:textFill>
            <w14:solidFill>
              <w14:schemeClr w14:val="tx1"/>
            </w14:solidFill>
          </w14:textFill>
        </w:rPr>
        <w:t>封闭</w:t>
      </w:r>
      <w:r>
        <w:rPr>
          <w:rFonts w:hint="eastAsia" w:ascii="仿宋_GB2312" w:hAnsi="仿宋_GB2312" w:cs="仿宋_GB2312"/>
          <w:color w:val="000000" w:themeColor="text1"/>
          <w:szCs w:val="32"/>
          <w14:textFill>
            <w14:solidFill>
              <w14:schemeClr w14:val="tx1"/>
            </w14:solidFill>
          </w14:textFill>
        </w:rPr>
        <w:t>设置</w:t>
      </w:r>
      <w:r>
        <w:rPr>
          <w:rFonts w:hint="eastAsia" w:ascii="仿宋_GB2312" w:hAnsi="仿宋_GB2312" w:cs="仿宋_GB2312"/>
          <w:color w:val="000000" w:themeColor="text1"/>
          <w:szCs w:val="32"/>
          <w:lang w:eastAsia="zh-CN"/>
          <w14:textFill>
            <w14:solidFill>
              <w14:schemeClr w14:val="tx1"/>
            </w14:solidFill>
          </w14:textFill>
        </w:rPr>
        <w:t>。</w:t>
      </w:r>
      <w:r>
        <w:rPr>
          <w:rFonts w:hint="eastAsia" w:ascii="仿宋_GB2312" w:hAnsi="仿宋_GB2312" w:cs="仿宋_GB2312"/>
          <w:color w:val="000000" w:themeColor="text1"/>
          <w:szCs w:val="32"/>
          <w14:textFill>
            <w14:solidFill>
              <w14:schemeClr w14:val="tx1"/>
            </w14:solidFill>
          </w14:textFill>
        </w:rPr>
        <w:t>围挡高度不得低于1.</w:t>
      </w:r>
      <w:r>
        <w:rPr>
          <w:rFonts w:hint="eastAsia" w:ascii="仿宋_GB2312" w:hAnsi="仿宋_GB2312" w:cs="仿宋_GB2312"/>
          <w:color w:val="000000" w:themeColor="text1"/>
          <w:szCs w:val="32"/>
          <w:lang w:val="en-US" w:eastAsia="zh-CN"/>
          <w14:textFill>
            <w14:solidFill>
              <w14:schemeClr w14:val="tx1"/>
            </w14:solidFill>
          </w14:textFill>
        </w:rPr>
        <w:t>8</w:t>
      </w:r>
      <w:r>
        <w:rPr>
          <w:rFonts w:hint="eastAsia" w:ascii="仿宋_GB2312" w:hAnsi="仿宋_GB2312" w:cs="仿宋_GB2312"/>
          <w:color w:val="000000" w:themeColor="text1"/>
          <w:szCs w:val="32"/>
          <w14:textFill>
            <w14:solidFill>
              <w14:schemeClr w14:val="tx1"/>
            </w14:solidFill>
          </w14:textFill>
        </w:rPr>
        <w:t>m。</w:t>
      </w:r>
    </w:p>
    <w:p w14:paraId="6BFA1057">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（二）短期围挡（工期</w:t>
      </w:r>
      <w:r>
        <w:rPr>
          <w:rFonts w:hint="eastAsia" w:ascii="仿宋_GB2312" w:hAnsi="仿宋_GB2312" w:cs="仿宋_GB2312"/>
          <w:color w:val="000000" w:themeColor="text1"/>
          <w:szCs w:val="32"/>
          <w:lang w:val="en-US" w:eastAsia="zh-CN"/>
          <w14:textFill>
            <w14:solidFill>
              <w14:schemeClr w14:val="tx1"/>
            </w14:solidFill>
          </w14:textFill>
        </w:rPr>
        <w:t>小于</w:t>
      </w:r>
      <w:r>
        <w:rPr>
          <w:rFonts w:hint="eastAsia" w:ascii="仿宋_GB2312" w:hAnsi="仿宋_GB2312" w:cs="仿宋_GB2312"/>
          <w:color w:val="000000" w:themeColor="text1"/>
          <w:szCs w:val="32"/>
          <w14:textFill>
            <w14:solidFill>
              <w14:schemeClr w14:val="tx1"/>
            </w14:solidFill>
          </w14:textFill>
        </w:rPr>
        <w:t>30天）</w:t>
      </w:r>
      <w:r>
        <w:rPr>
          <w:rFonts w:hint="eastAsia" w:ascii="仿宋_GB2312" w:hAnsi="仿宋_GB2312" w:cs="仿宋_GB2312"/>
          <w:color w:val="000000" w:themeColor="text1"/>
          <w:szCs w:val="32"/>
          <w:lang w:eastAsia="zh-CN"/>
          <w14:textFill>
            <w14:solidFill>
              <w14:schemeClr w14:val="tx1"/>
            </w14:solidFill>
          </w14:textFill>
        </w:rPr>
        <w:t>。</w:t>
      </w:r>
      <w:r>
        <w:rPr>
          <w:rFonts w:hint="eastAsia" w:ascii="仿宋_GB2312" w:hAnsi="仿宋_GB2312" w:cs="仿宋_GB2312"/>
          <w:color w:val="000000" w:themeColor="text1"/>
          <w:szCs w:val="32"/>
          <w:lang w:val="en-US" w:eastAsia="zh-CN"/>
          <w14:textFill>
            <w14:solidFill>
              <w14:schemeClr w14:val="tx1"/>
            </w14:solidFill>
          </w14:textFill>
        </w:rPr>
        <w:t>围挡</w:t>
      </w:r>
      <w:r>
        <w:rPr>
          <w:rFonts w:hint="eastAsia" w:ascii="仿宋_GB2312" w:hAnsi="仿宋_GB2312" w:cs="仿宋_GB2312"/>
          <w:color w:val="000000" w:themeColor="text1"/>
          <w:szCs w:val="32"/>
          <w14:textFill>
            <w14:solidFill>
              <w14:schemeClr w14:val="tx1"/>
            </w14:solidFill>
          </w14:textFill>
        </w:rPr>
        <w:t>应沿工地四周连续封闭设置</w:t>
      </w:r>
      <w:r>
        <w:rPr>
          <w:rFonts w:hint="eastAsia" w:ascii="仿宋_GB2312" w:hAnsi="仿宋_GB2312" w:cs="仿宋_GB2312"/>
          <w:color w:val="000000" w:themeColor="text1"/>
          <w:szCs w:val="32"/>
          <w:lang w:eastAsia="zh-CN"/>
          <w14:textFill>
            <w14:solidFill>
              <w14:schemeClr w14:val="tx1"/>
            </w14:solidFill>
          </w14:textFill>
        </w:rPr>
        <w:t>，</w:t>
      </w:r>
      <w:r>
        <w:rPr>
          <w:rFonts w:hint="eastAsia" w:ascii="仿宋_GB2312" w:hAnsi="仿宋_GB2312" w:cs="仿宋_GB2312"/>
          <w:color w:val="000000" w:themeColor="text1"/>
          <w:szCs w:val="32"/>
          <w14:textFill>
            <w14:solidFill>
              <w14:schemeClr w14:val="tx1"/>
            </w14:solidFill>
          </w14:textFill>
        </w:rPr>
        <w:t>围挡底部应使用膨胀螺丝固定</w:t>
      </w:r>
      <w:r>
        <w:rPr>
          <w:rFonts w:hint="eastAsia" w:ascii="仿宋_GB2312" w:hAnsi="仿宋_GB2312" w:cs="仿宋_GB2312"/>
          <w:color w:val="000000" w:themeColor="text1"/>
          <w:szCs w:val="32"/>
          <w:lang w:eastAsia="zh-CN"/>
          <w14:textFill>
            <w14:solidFill>
              <w14:schemeClr w14:val="tx1"/>
            </w14:solidFill>
          </w14:textFill>
        </w:rPr>
        <w:t>，</w:t>
      </w:r>
      <w:r>
        <w:rPr>
          <w:rFonts w:hint="eastAsia" w:ascii="仿宋_GB2312" w:hAnsi="仿宋_GB2312" w:cs="仿宋_GB2312"/>
          <w:color w:val="000000" w:themeColor="text1"/>
          <w:szCs w:val="32"/>
          <w14:textFill>
            <w14:solidFill>
              <w14:schemeClr w14:val="tx1"/>
            </w14:solidFill>
          </w14:textFill>
        </w:rPr>
        <w:t>围挡高度不得低于2.5m。</w:t>
      </w:r>
    </w:p>
    <w:p w14:paraId="7FBBFF91">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（三）长期围挡（工期30天及以上）</w:t>
      </w:r>
      <w:r>
        <w:rPr>
          <w:rFonts w:hint="eastAsia" w:ascii="仿宋_GB2312" w:hAnsi="仿宋_GB2312" w:cs="仿宋_GB2312"/>
          <w:color w:val="000000" w:themeColor="text1"/>
          <w:szCs w:val="32"/>
          <w:lang w:eastAsia="zh-CN"/>
          <w14:textFill>
            <w14:solidFill>
              <w14:schemeClr w14:val="tx1"/>
            </w14:solidFill>
          </w14:textFill>
        </w:rPr>
        <w:t>。</w:t>
      </w:r>
      <w:r>
        <w:rPr>
          <w:rFonts w:hint="eastAsia" w:ascii="仿宋_GB2312" w:hAnsi="仿宋_GB2312" w:cs="仿宋_GB2312"/>
          <w:color w:val="000000" w:themeColor="text1"/>
          <w:szCs w:val="32"/>
          <w:lang w:val="en-US" w:eastAsia="zh-CN"/>
          <w14:textFill>
            <w14:solidFill>
              <w14:schemeClr w14:val="tx1"/>
            </w14:solidFill>
          </w14:textFill>
        </w:rPr>
        <w:t>围挡应</w:t>
      </w:r>
      <w:r>
        <w:rPr>
          <w:rFonts w:hint="eastAsia" w:ascii="仿宋_GB2312" w:hAnsi="仿宋_GB2312" w:cs="仿宋_GB2312"/>
          <w:color w:val="000000" w:themeColor="text1"/>
          <w:szCs w:val="32"/>
          <w14:textFill>
            <w14:solidFill>
              <w14:schemeClr w14:val="tx1"/>
            </w14:solidFill>
          </w14:textFill>
        </w:rPr>
        <w:t>沿工地四周连续封闭设置</w:t>
      </w:r>
      <w:r>
        <w:rPr>
          <w:rFonts w:hint="eastAsia" w:ascii="仿宋_GB2312" w:hAnsi="仿宋_GB2312" w:cs="仿宋_GB2312"/>
          <w:color w:val="000000" w:themeColor="text1"/>
          <w:szCs w:val="32"/>
          <w:lang w:eastAsia="zh-CN"/>
          <w14:textFill>
            <w14:solidFill>
              <w14:schemeClr w14:val="tx1"/>
            </w14:solidFill>
          </w14:textFill>
        </w:rPr>
        <w:t>。</w:t>
      </w:r>
      <w:r>
        <w:rPr>
          <w:rFonts w:hint="eastAsia" w:ascii="仿宋_GB2312" w:hAnsi="仿宋_GB2312" w:cs="仿宋_GB2312"/>
          <w:color w:val="000000" w:themeColor="text1"/>
          <w:szCs w:val="32"/>
          <w14:textFill>
            <w14:solidFill>
              <w14:schemeClr w14:val="tx1"/>
            </w14:solidFill>
          </w14:textFill>
        </w:rPr>
        <w:t>围挡高度不得低于2.5m。围挡基础应牢固可靠，围挡底部应设置高度大于300mm砖砌墙做基础，地质条件较差的地段应设置300mm高钢筋混凝土做基础。长期围挡应采用彩钢板或PVC板材，每间隔不大于4.0m设置方钢管立柱，设置横管并与立柱有效连接，形成框架。围挡上方应设置喷淋设施，具体要求参照第</w:t>
      </w:r>
      <w:r>
        <w:rPr>
          <w:rFonts w:hint="eastAsia" w:ascii="仿宋_GB2312" w:hAnsi="仿宋_GB2312" w:cs="仿宋_GB2312"/>
          <w:color w:val="000000" w:themeColor="text1"/>
          <w:szCs w:val="32"/>
          <w:lang w:val="en-US" w:eastAsia="zh-CN"/>
          <w14:textFill>
            <w14:solidFill>
              <w14:schemeClr w14:val="tx1"/>
            </w14:solidFill>
          </w14:textFill>
        </w:rPr>
        <w:t>六</w:t>
      </w:r>
      <w:r>
        <w:rPr>
          <w:rFonts w:hint="eastAsia" w:ascii="仿宋_GB2312" w:hAnsi="仿宋_GB2312" w:cs="仿宋_GB2312"/>
          <w:color w:val="000000" w:themeColor="text1"/>
          <w:szCs w:val="32"/>
          <w14:textFill>
            <w14:solidFill>
              <w14:schemeClr w14:val="tx1"/>
            </w14:solidFill>
          </w14:textFill>
        </w:rPr>
        <w:t>条房建工程喷淋设置标准。同一路段的</w:t>
      </w:r>
      <w:r>
        <w:rPr>
          <w:rFonts w:hint="eastAsia" w:ascii="仿宋_GB2312" w:hAnsi="仿宋_GB2312" w:cs="仿宋_GB2312"/>
          <w:color w:val="000000" w:themeColor="text1"/>
          <w:szCs w:val="32"/>
          <w:lang w:val="en-US" w:eastAsia="zh-CN"/>
          <w14:textFill>
            <w14:solidFill>
              <w14:schemeClr w14:val="tx1"/>
            </w14:solidFill>
          </w14:textFill>
        </w:rPr>
        <w:t>工程</w:t>
      </w:r>
      <w:r>
        <w:rPr>
          <w:rFonts w:hint="eastAsia" w:ascii="仿宋_GB2312" w:hAnsi="仿宋_GB2312" w:cs="仿宋_GB2312"/>
          <w:color w:val="000000" w:themeColor="text1"/>
          <w:szCs w:val="32"/>
          <w14:textFill>
            <w14:solidFill>
              <w14:schemeClr w14:val="tx1"/>
            </w14:solidFill>
          </w14:textFill>
        </w:rPr>
        <w:t>围挡高度、样式、广告内容原则上应保持一致。</w:t>
      </w:r>
    </w:p>
    <w:p w14:paraId="6CD232FB">
      <w:pPr>
        <w:keepNext w:val="0"/>
        <w:keepLines w:val="0"/>
        <w:pageBreakBefore w:val="0"/>
        <w:widowControl w:val="0"/>
        <w:kinsoku/>
        <w:overflowPunct/>
        <w:topLinePunct w:val="0"/>
        <w:autoSpaceDE w:val="0"/>
        <w:autoSpaceDN/>
        <w:bidi w:val="0"/>
        <w:adjustRightInd/>
        <w:snapToGrid/>
        <w:spacing w:line="560" w:lineRule="exact"/>
        <w:ind w:firstLine="608" w:firstLineChars="200"/>
        <w:textAlignment w:val="auto"/>
        <w:rPr>
          <w:rFonts w:hint="eastAsia"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w:t>
      </w:r>
      <w:r>
        <w:rPr>
          <w:rFonts w:hint="eastAsia" w:ascii="仿宋_GB2312" w:hAnsi="仿宋_GB2312" w:cs="仿宋_GB2312"/>
          <w:color w:val="000000" w:themeColor="text1"/>
          <w:szCs w:val="32"/>
          <w:lang w:val="en-US" w:eastAsia="zh-CN"/>
          <w14:textFill>
            <w14:solidFill>
              <w14:schemeClr w14:val="tx1"/>
            </w14:solidFill>
          </w14:textFill>
        </w:rPr>
        <w:t>四</w:t>
      </w:r>
      <w:r>
        <w:rPr>
          <w:rFonts w:hint="eastAsia" w:ascii="仿宋_GB2312" w:hAnsi="仿宋_GB2312" w:cs="仿宋_GB2312"/>
          <w:color w:val="000000" w:themeColor="text1"/>
          <w:szCs w:val="32"/>
          <w14:textFill>
            <w14:solidFill>
              <w14:schemeClr w14:val="tx1"/>
            </w14:solidFill>
          </w14:textFill>
        </w:rPr>
        <w:t>）电力、</w:t>
      </w:r>
      <w:r>
        <w:rPr>
          <w:rFonts w:hint="eastAsia" w:ascii="仿宋_GB2312" w:hAnsi="仿宋_GB2312" w:cs="仿宋_GB2312"/>
          <w:color w:val="000000" w:themeColor="text1"/>
          <w:szCs w:val="32"/>
          <w:lang w:val="en-US" w:eastAsia="zh-CN"/>
          <w14:textFill>
            <w14:solidFill>
              <w14:schemeClr w14:val="tx1"/>
            </w14:solidFill>
          </w14:textFill>
        </w:rPr>
        <w:t>通信、供水、燃气、</w:t>
      </w:r>
      <w:r>
        <w:rPr>
          <w:rFonts w:hint="eastAsia" w:ascii="仿宋_GB2312" w:hAnsi="仿宋_GB2312" w:cs="仿宋_GB2312"/>
          <w:color w:val="000000" w:themeColor="text1"/>
          <w:szCs w:val="32"/>
          <w:lang w:eastAsia="zh-CN"/>
          <w14:textFill>
            <w14:solidFill>
              <w14:schemeClr w14:val="tx1"/>
            </w14:solidFill>
          </w14:textFill>
        </w:rPr>
        <w:t>拆违、</w:t>
      </w:r>
      <w:r>
        <w:rPr>
          <w:rFonts w:hint="eastAsia" w:ascii="仿宋_GB2312" w:hAnsi="仿宋_GB2312" w:cs="仿宋_GB2312"/>
          <w:color w:val="000000" w:themeColor="text1"/>
          <w:szCs w:val="32"/>
          <w14:textFill>
            <w14:solidFill>
              <w14:schemeClr w14:val="tx1"/>
            </w14:solidFill>
          </w14:textFill>
        </w:rPr>
        <w:t>市政设施维护抢修作业</w:t>
      </w:r>
      <w:r>
        <w:rPr>
          <w:rFonts w:hint="eastAsia" w:ascii="仿宋_GB2312" w:hAnsi="仿宋_GB2312" w:cs="仿宋_GB2312"/>
          <w:color w:val="000000" w:themeColor="text1"/>
          <w:szCs w:val="32"/>
          <w:lang w:eastAsia="zh-CN"/>
          <w14:textFill>
            <w14:solidFill>
              <w14:schemeClr w14:val="tx1"/>
            </w14:solidFill>
          </w14:textFill>
        </w:rPr>
        <w:t>、</w:t>
      </w:r>
      <w:r>
        <w:rPr>
          <w:rFonts w:hint="eastAsia" w:ascii="仿宋_GB2312" w:hAnsi="仿宋_GB2312" w:cs="仿宋_GB2312"/>
          <w:color w:val="000000" w:themeColor="text1"/>
          <w:szCs w:val="32"/>
          <w:lang w:val="en-US" w:eastAsia="zh-CN"/>
          <w14:textFill>
            <w14:solidFill>
              <w14:schemeClr w14:val="tx1"/>
            </w14:solidFill>
          </w14:textFill>
        </w:rPr>
        <w:t>城市道路临时挖掘、户外广告牌安装、</w:t>
      </w:r>
      <w:r>
        <w:rPr>
          <w:rFonts w:hint="eastAsia" w:ascii="仿宋_GB2312" w:hAnsi="仿宋_GB2312" w:cs="仿宋_GB2312"/>
          <w:color w:val="000000" w:themeColor="text1"/>
          <w:szCs w:val="32"/>
          <w:lang w:eastAsia="zh-CN"/>
          <w14:textFill>
            <w14:solidFill>
              <w14:schemeClr w14:val="tx1"/>
            </w14:solidFill>
          </w14:textFill>
        </w:rPr>
        <w:t>小散工程、零星作业</w:t>
      </w:r>
      <w:r>
        <w:rPr>
          <w:rFonts w:hint="eastAsia" w:ascii="仿宋_GB2312" w:hAnsi="仿宋_GB2312" w:cs="仿宋_GB2312"/>
          <w:color w:val="000000" w:themeColor="text1"/>
          <w:szCs w:val="32"/>
          <w:lang w:val="en-US" w:eastAsia="zh-CN"/>
          <w14:textFill>
            <w14:solidFill>
              <w14:schemeClr w14:val="tx1"/>
            </w14:solidFill>
          </w14:textFill>
        </w:rPr>
        <w:t>等施工</w:t>
      </w:r>
      <w:r>
        <w:rPr>
          <w:rFonts w:hint="eastAsia" w:ascii="仿宋_GB2312" w:hAnsi="仿宋_GB2312" w:cs="仿宋_GB2312"/>
          <w:color w:val="000000" w:themeColor="text1"/>
          <w:szCs w:val="32"/>
          <w14:textFill>
            <w14:solidFill>
              <w14:schemeClr w14:val="tx1"/>
            </w14:solidFill>
          </w14:textFill>
        </w:rPr>
        <w:t>围挡参照上述标准。</w:t>
      </w:r>
    </w:p>
    <w:p w14:paraId="3501FBF6">
      <w:pPr>
        <w:keepNext w:val="0"/>
        <w:keepLines w:val="0"/>
        <w:pageBreakBefore w:val="0"/>
        <w:widowControl w:val="0"/>
        <w:kinsoku/>
        <w:overflowPunct/>
        <w:topLinePunct w:val="0"/>
        <w:autoSpaceDE w:val="0"/>
        <w:autoSpaceDN/>
        <w:bidi w:val="0"/>
        <w:adjustRightInd/>
        <w:snapToGrid/>
        <w:spacing w:line="560" w:lineRule="exact"/>
        <w:ind w:firstLine="608" w:firstLineChars="200"/>
        <w:textAlignment w:val="auto"/>
        <w:rPr>
          <w:rFonts w:hint="eastAsia" w:ascii="黑体" w:hAnsi="宋体" w:eastAsia="仿宋_GB2312" w:cs="黑体"/>
          <w:color w:val="000000" w:themeColor="text1"/>
          <w:szCs w:val="32"/>
          <w:lang w:eastAsia="zh-CN"/>
          <w14:textFill>
            <w14:solidFill>
              <w14:schemeClr w14:val="tx1"/>
            </w14:solidFill>
          </w14:textFill>
        </w:rPr>
      </w:pPr>
      <w:r>
        <w:rPr>
          <w:rFonts w:ascii="仿宋_GB2312" w:cs="仿宋_GB2312"/>
          <w:b/>
          <w:bCs/>
          <w:color w:val="000000" w:themeColor="text1"/>
          <w:szCs w:val="32"/>
          <w14:textFill>
            <w14:solidFill>
              <w14:schemeClr w14:val="tx1"/>
            </w14:solidFill>
          </w14:textFill>
        </w:rPr>
        <w:t>第</w:t>
      </w:r>
      <w:r>
        <w:rPr>
          <w:rFonts w:hint="eastAsia" w:ascii="仿宋_GB2312" w:cs="仿宋_GB2312"/>
          <w:b/>
          <w:bCs/>
          <w:color w:val="000000" w:themeColor="text1"/>
          <w:szCs w:val="32"/>
          <w:lang w:val="en-US" w:eastAsia="zh-CN"/>
          <w14:textFill>
            <w14:solidFill>
              <w14:schemeClr w14:val="tx1"/>
            </w14:solidFill>
          </w14:textFill>
        </w:rPr>
        <w:t>八</w:t>
      </w:r>
      <w:r>
        <w:rPr>
          <w:rFonts w:ascii="仿宋_GB2312" w:cs="仿宋_GB2312"/>
          <w:b/>
          <w:bCs/>
          <w:color w:val="000000" w:themeColor="text1"/>
          <w:szCs w:val="32"/>
          <w14:textFill>
            <w14:solidFill>
              <w14:schemeClr w14:val="tx1"/>
            </w14:solidFill>
          </w14:textFill>
        </w:rPr>
        <w:t>条</w:t>
      </w:r>
      <w:r>
        <w:rPr>
          <w:rFonts w:ascii="仿宋_GB2312" w:cs="仿宋_GB2312"/>
          <w:color w:val="000000" w:themeColor="text1"/>
          <w:szCs w:val="32"/>
          <w14:textFill>
            <w14:solidFill>
              <w14:schemeClr w14:val="tx1"/>
            </w14:solidFill>
          </w14:textFill>
        </w:rPr>
        <w:t xml:space="preserve"> 围挡</w:t>
      </w:r>
      <w:r>
        <w:rPr>
          <w:rFonts w:hint="eastAsia" w:ascii="仿宋_GB2312" w:cs="仿宋_GB2312"/>
          <w:color w:val="000000" w:themeColor="text1"/>
          <w:szCs w:val="32"/>
          <w14:textFill>
            <w14:solidFill>
              <w14:schemeClr w14:val="tx1"/>
            </w14:solidFill>
          </w14:textFill>
        </w:rPr>
        <w:t>外观</w:t>
      </w:r>
      <w:r>
        <w:rPr>
          <w:rFonts w:hint="eastAsia" w:ascii="仿宋_GB2312" w:cs="仿宋_GB2312"/>
          <w:color w:val="000000" w:themeColor="text1"/>
          <w:szCs w:val="32"/>
          <w:lang w:eastAsia="zh-CN"/>
          <w14:textFill>
            <w14:solidFill>
              <w14:schemeClr w14:val="tx1"/>
            </w14:solidFill>
          </w14:textFill>
        </w:rPr>
        <w:t>要求</w:t>
      </w:r>
    </w:p>
    <w:p w14:paraId="1B51A75A">
      <w:pPr>
        <w:keepNext w:val="0"/>
        <w:keepLines w:val="0"/>
        <w:pageBreakBefore w:val="0"/>
        <w:widowControl w:val="0"/>
        <w:kinsoku/>
        <w:overflowPunct/>
        <w:topLinePunct w:val="0"/>
        <w:autoSpaceDE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（一）围挡上应按照要求设置工程概况牌、管理人员及监督电话牌。</w:t>
      </w:r>
    </w:p>
    <w:p w14:paraId="12319A10">
      <w:pPr>
        <w:keepNext w:val="0"/>
        <w:keepLines w:val="0"/>
        <w:pageBreakBefore w:val="0"/>
        <w:widowControl w:val="0"/>
        <w:kinsoku/>
        <w:overflowPunct/>
        <w:topLinePunct w:val="0"/>
        <w:autoSpaceDE w:val="0"/>
        <w:autoSpaceDN/>
        <w:bidi w:val="0"/>
        <w:adjustRightInd/>
        <w:snapToGrid/>
        <w:spacing w:line="560" w:lineRule="exact"/>
        <w:ind w:firstLine="608" w:firstLineChars="200"/>
        <w:textAlignment w:val="auto"/>
        <w:rPr>
          <w:rFonts w:asci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（二）围挡广告宜采用平铺广告布、平铺仿真草皮外加艺术字等形式，砌体围挡广告应采用彩绘喷涂形式。围挡广告画面与围挡面的连接应确保连接可靠，牢固安全，制作精良，粘贴平整。</w:t>
      </w:r>
    </w:p>
    <w:p w14:paraId="4789DEE8">
      <w:pPr>
        <w:keepNext w:val="0"/>
        <w:keepLines w:val="0"/>
        <w:pageBreakBefore w:val="0"/>
        <w:widowControl w:val="0"/>
        <w:kinsoku/>
        <w:overflowPunct/>
        <w:topLinePunct w:val="0"/>
        <w:autoSpaceDE w:val="0"/>
        <w:autoSpaceDN/>
        <w:bidi w:val="0"/>
        <w:adjustRightInd/>
        <w:snapToGrid/>
        <w:spacing w:line="560" w:lineRule="exact"/>
        <w:ind w:firstLine="608" w:firstLineChars="200"/>
        <w:textAlignment w:val="auto"/>
        <w:rPr>
          <w:rFonts w:ascii="仿宋_GB2312" w:cs="仿宋_GB2312"/>
          <w:color w:val="000000" w:themeColor="text1"/>
          <w:szCs w:val="32"/>
          <w14:textFill>
            <w14:solidFill>
              <w14:schemeClr w14:val="tx1"/>
            </w14:solidFill>
          </w14:textFill>
        </w:rPr>
      </w:pPr>
      <w:r>
        <w:rPr>
          <w:rFonts w:ascii="仿宋_GB2312" w:cs="仿宋_GB2312"/>
          <w:color w:val="000000" w:themeColor="text1"/>
          <w:szCs w:val="32"/>
          <w14:textFill>
            <w14:solidFill>
              <w14:schemeClr w14:val="tx1"/>
            </w14:solidFill>
          </w14:textFill>
        </w:rPr>
        <w:t>（</w:t>
      </w:r>
      <w:r>
        <w:rPr>
          <w:rFonts w:hint="eastAsia" w:ascii="仿宋_GB2312" w:cs="仿宋_GB2312"/>
          <w:color w:val="000000" w:themeColor="text1"/>
          <w:szCs w:val="32"/>
          <w14:textFill>
            <w14:solidFill>
              <w14:schemeClr w14:val="tx1"/>
            </w14:solidFill>
          </w14:textFill>
        </w:rPr>
        <w:t>三</w:t>
      </w:r>
      <w:r>
        <w:rPr>
          <w:rFonts w:ascii="仿宋_GB2312" w:cs="仿宋_GB2312"/>
          <w:color w:val="000000" w:themeColor="text1"/>
          <w:szCs w:val="32"/>
          <w14:textFill>
            <w14:solidFill>
              <w14:schemeClr w14:val="tx1"/>
            </w14:solidFill>
          </w14:textFill>
        </w:rPr>
        <w:t>）围挡</w:t>
      </w:r>
      <w:r>
        <w:rPr>
          <w:rFonts w:hint="eastAsia" w:ascii="仿宋_GB2312" w:cs="仿宋_GB2312"/>
          <w:color w:val="000000" w:themeColor="text1"/>
          <w:szCs w:val="32"/>
          <w14:textFill>
            <w14:solidFill>
              <w14:schemeClr w14:val="tx1"/>
            </w14:solidFill>
          </w14:textFill>
        </w:rPr>
        <w:t>应</w:t>
      </w:r>
      <w:r>
        <w:rPr>
          <w:rFonts w:ascii="仿宋_GB2312" w:cs="仿宋_GB2312"/>
          <w:color w:val="000000" w:themeColor="text1"/>
          <w:szCs w:val="32"/>
          <w14:textFill>
            <w14:solidFill>
              <w14:schemeClr w14:val="tx1"/>
            </w14:solidFill>
          </w14:textFill>
        </w:rPr>
        <w:t>设置面积不低于30%的公益广告（政府投资项目不低于50%），内容根据市创建中心要求设置。围挡公益广告保持整洁、美观、无破损</w:t>
      </w:r>
      <w:r>
        <w:rPr>
          <w:rFonts w:hint="eastAsia" w:ascii="仿宋_GB2312" w:cs="仿宋_GB2312"/>
          <w:color w:val="000000" w:themeColor="text1"/>
          <w:szCs w:val="32"/>
          <w14:textFill>
            <w14:solidFill>
              <w14:schemeClr w14:val="tx1"/>
            </w14:solidFill>
          </w14:textFill>
        </w:rPr>
        <w:t>，</w:t>
      </w:r>
      <w:r>
        <w:rPr>
          <w:rFonts w:ascii="仿宋_GB2312" w:cs="仿宋_GB2312"/>
          <w:color w:val="000000" w:themeColor="text1"/>
          <w:szCs w:val="32"/>
          <w14:textFill>
            <w14:solidFill>
              <w14:schemeClr w14:val="tx1"/>
            </w14:solidFill>
          </w14:textFill>
        </w:rPr>
        <w:t>公益广告及商业广告相对均匀分布，风格一致，并与周边环境相协调。</w:t>
      </w:r>
    </w:p>
    <w:p w14:paraId="02CB81F0">
      <w:pPr>
        <w:keepNext w:val="0"/>
        <w:keepLines w:val="0"/>
        <w:pageBreakBefore w:val="0"/>
        <w:widowControl w:val="0"/>
        <w:kinsoku/>
        <w:overflowPunct/>
        <w:topLinePunct w:val="0"/>
        <w:autoSpaceDE w:val="0"/>
        <w:autoSpaceDN/>
        <w:bidi w:val="0"/>
        <w:adjustRightInd/>
        <w:snapToGrid/>
        <w:spacing w:line="560" w:lineRule="exact"/>
        <w:ind w:firstLine="608" w:firstLineChars="200"/>
        <w:textAlignment w:val="auto"/>
        <w:rPr>
          <w:rFonts w:ascii="仿宋_GB2312" w:cs="仿宋_GB2312"/>
          <w:color w:val="000000" w:themeColor="text1"/>
          <w:szCs w:val="32"/>
          <w14:textFill>
            <w14:solidFill>
              <w14:schemeClr w14:val="tx1"/>
            </w14:solidFill>
          </w14:textFill>
        </w:rPr>
      </w:pPr>
      <w:r>
        <w:rPr>
          <w:rFonts w:ascii="仿宋_GB2312" w:cs="仿宋_GB2312"/>
          <w:color w:val="000000" w:themeColor="text1"/>
          <w:szCs w:val="32"/>
          <w14:textFill>
            <w14:solidFill>
              <w14:schemeClr w14:val="tx1"/>
            </w14:solidFill>
          </w14:textFill>
        </w:rPr>
        <w:t>（</w:t>
      </w:r>
      <w:r>
        <w:rPr>
          <w:rFonts w:hint="eastAsia" w:ascii="仿宋_GB2312" w:cs="仿宋_GB2312"/>
          <w:color w:val="000000" w:themeColor="text1"/>
          <w:szCs w:val="32"/>
          <w14:textFill>
            <w14:solidFill>
              <w14:schemeClr w14:val="tx1"/>
            </w14:solidFill>
          </w14:textFill>
        </w:rPr>
        <w:t>四</w:t>
      </w:r>
      <w:r>
        <w:rPr>
          <w:rFonts w:ascii="仿宋_GB2312" w:cs="仿宋_GB2312"/>
          <w:color w:val="000000" w:themeColor="text1"/>
          <w:szCs w:val="32"/>
          <w14:textFill>
            <w14:solidFill>
              <w14:schemeClr w14:val="tx1"/>
            </w14:solidFill>
          </w14:textFill>
        </w:rPr>
        <w:t>）围挡风格</w:t>
      </w:r>
      <w:r>
        <w:rPr>
          <w:rFonts w:hint="eastAsia" w:ascii="仿宋_GB2312" w:cs="仿宋_GB2312"/>
          <w:color w:val="000000" w:themeColor="text1"/>
          <w:szCs w:val="32"/>
          <w14:textFill>
            <w14:solidFill>
              <w14:schemeClr w14:val="tx1"/>
            </w14:solidFill>
          </w14:textFill>
        </w:rPr>
        <w:t>以</w:t>
      </w:r>
      <w:r>
        <w:rPr>
          <w:rFonts w:ascii="仿宋_GB2312" w:cs="仿宋_GB2312"/>
          <w:color w:val="000000" w:themeColor="text1"/>
          <w:szCs w:val="32"/>
          <w14:textFill>
            <w14:solidFill>
              <w14:schemeClr w14:val="tx1"/>
            </w14:solidFill>
          </w14:textFill>
        </w:rPr>
        <w:t>现代风格为主，原则上采用现代、简洁、明快、与环境融合的外观造型和画面风格。应把围挡建设成图文并茂、美观大方的“一街一景、一墙一品”效果，彰显文明大冶特色的文化墙。</w:t>
      </w:r>
    </w:p>
    <w:p w14:paraId="33B23AB5">
      <w:pPr>
        <w:keepNext w:val="0"/>
        <w:keepLines w:val="0"/>
        <w:pageBreakBefore w:val="0"/>
        <w:widowControl w:val="0"/>
        <w:kinsoku/>
        <w:overflowPunct/>
        <w:topLinePunct w:val="0"/>
        <w:autoSpaceDE w:val="0"/>
        <w:autoSpaceDN/>
        <w:bidi w:val="0"/>
        <w:adjustRightInd/>
        <w:snapToGrid/>
        <w:spacing w:line="560" w:lineRule="exact"/>
        <w:ind w:firstLine="608" w:firstLineChars="200"/>
        <w:textAlignment w:val="auto"/>
        <w:rPr>
          <w:rFonts w:ascii="黑体" w:hAnsi="黑体" w:eastAsia="黑体" w:cs="黑体"/>
          <w:color w:val="000000" w:themeColor="text1"/>
          <w:szCs w:val="32"/>
          <w14:textFill>
            <w14:solidFill>
              <w14:schemeClr w14:val="tx1"/>
            </w14:solidFill>
          </w14:textFill>
        </w:rPr>
      </w:pPr>
      <w:r>
        <w:rPr>
          <w:rFonts w:hint="eastAsia" w:ascii="仿宋_GB2312" w:hAnsi="仿宋_GB2312" w:cs="仿宋_GB2312"/>
          <w:b/>
          <w:bCs/>
          <w:color w:val="000000" w:themeColor="text1"/>
          <w:szCs w:val="32"/>
          <w14:textFill>
            <w14:solidFill>
              <w14:schemeClr w14:val="tx1"/>
            </w14:solidFill>
          </w14:textFill>
        </w:rPr>
        <w:t>第</w:t>
      </w:r>
      <w:r>
        <w:rPr>
          <w:rFonts w:hint="eastAsia" w:ascii="仿宋_GB2312" w:hAnsi="仿宋_GB2312" w:cs="仿宋_GB2312"/>
          <w:b/>
          <w:bCs/>
          <w:color w:val="000000" w:themeColor="text1"/>
          <w:szCs w:val="32"/>
          <w:lang w:val="en-US" w:eastAsia="zh-CN"/>
          <w14:textFill>
            <w14:solidFill>
              <w14:schemeClr w14:val="tx1"/>
            </w14:solidFill>
          </w14:textFill>
        </w:rPr>
        <w:t>九</w:t>
      </w:r>
      <w:r>
        <w:rPr>
          <w:rFonts w:hint="eastAsia" w:ascii="仿宋_GB2312" w:hAnsi="仿宋_GB2312" w:cs="仿宋_GB2312"/>
          <w:b/>
          <w:bCs/>
          <w:color w:val="000000" w:themeColor="text1"/>
          <w:szCs w:val="32"/>
          <w14:textFill>
            <w14:solidFill>
              <w14:schemeClr w14:val="tx1"/>
            </w14:solidFill>
          </w14:textFill>
        </w:rPr>
        <w:t>条</w:t>
      </w:r>
      <w:r>
        <w:rPr>
          <w:rFonts w:hint="eastAsia" w:ascii="仿宋_GB2312" w:hAnsi="仿宋_GB2312" w:cs="仿宋_GB2312"/>
          <w:b/>
          <w:bCs/>
          <w:color w:val="000000" w:themeColor="text1"/>
          <w:szCs w:val="32"/>
          <w:lang w:val="en-US" w:eastAsia="zh-CN"/>
          <w14:textFill>
            <w14:solidFill>
              <w14:schemeClr w14:val="tx1"/>
            </w14:solidFill>
          </w14:textFill>
        </w:rPr>
        <w:t xml:space="preserve"> </w:t>
      </w:r>
      <w:r>
        <w:rPr>
          <w:rFonts w:hint="eastAsia" w:ascii="仿宋_GB2312" w:hAnsi="仿宋_GB2312" w:cs="仿宋_GB2312"/>
          <w:color w:val="000000" w:themeColor="text1"/>
          <w:szCs w:val="32"/>
          <w14:textFill>
            <w14:solidFill>
              <w14:schemeClr w14:val="tx1"/>
            </w14:solidFill>
          </w14:textFill>
        </w:rPr>
        <w:t>围挡安全要求</w:t>
      </w:r>
    </w:p>
    <w:p w14:paraId="39A1E19F">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（一）围挡和围挡广告不得有间断、敞开、污染、破损。围挡内侧1.0m范围内不得堆放料具、土石方等物料，外侧5.0m范围内应保持清洁。</w:t>
      </w:r>
    </w:p>
    <w:p w14:paraId="6579BB13">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二）围挡应保证作业人员和周边行人的安全，确保抗风稳定性，围挡搭设要求满足抗10级大风要求。围挡下部300mm高区域应采用黑黄相间涂色，与上部区域涂色进行区分，以起到警示作用。占道施工项目围挡须设置警示灯、警示条和交通引导标牌等设施。</w:t>
      </w:r>
    </w:p>
    <w:p w14:paraId="66A2A57F">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（三）交叉路口或道路中央，不适宜设置较高工程围挡的，其高度宜降至1.1m；距离交通路口20m范围内或拐角处5.0m范围内的施工围挡，围挡上部0.8m以上部分应当采用通透性围挡，不得影响路口行车视距。</w:t>
      </w:r>
    </w:p>
    <w:p w14:paraId="2446C5C5">
      <w:pPr>
        <w:keepNext w:val="0"/>
        <w:keepLines w:val="0"/>
        <w:pageBreakBefore w:val="0"/>
        <w:widowControl w:val="0"/>
        <w:kinsoku/>
        <w:overflowPunct/>
        <w:topLinePunct w:val="0"/>
        <w:autoSpaceDE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ascii="仿宋_GB2312" w:cs="仿宋_GB2312"/>
          <w:color w:val="000000" w:themeColor="text1"/>
          <w:szCs w:val="32"/>
          <w14:textFill>
            <w14:solidFill>
              <w14:schemeClr w14:val="tx1"/>
            </w14:solidFill>
          </w14:textFill>
        </w:rPr>
        <w:t>（四）</w:t>
      </w:r>
      <w:r>
        <w:rPr>
          <w:rFonts w:hint="eastAsia" w:ascii="仿宋_GB2312" w:cs="仿宋_GB2312"/>
          <w:color w:val="000000" w:themeColor="text1"/>
          <w:szCs w:val="32"/>
          <w14:textFill>
            <w14:solidFill>
              <w14:schemeClr w14:val="tx1"/>
            </w14:solidFill>
          </w14:textFill>
        </w:rPr>
        <w:t>建筑</w:t>
      </w:r>
      <w:r>
        <w:rPr>
          <w:rFonts w:ascii="仿宋_GB2312" w:cs="仿宋_GB2312"/>
          <w:color w:val="000000" w:themeColor="text1"/>
          <w:szCs w:val="32"/>
          <w14:textFill>
            <w14:solidFill>
              <w14:schemeClr w14:val="tx1"/>
            </w14:solidFill>
          </w14:textFill>
        </w:rPr>
        <w:t>工地出入口</w:t>
      </w:r>
      <w:r>
        <w:rPr>
          <w:rFonts w:hint="eastAsia" w:ascii="仿宋_GB2312" w:cs="仿宋_GB2312"/>
          <w:color w:val="000000" w:themeColor="text1"/>
          <w:szCs w:val="32"/>
          <w14:textFill>
            <w14:solidFill>
              <w14:schemeClr w14:val="tx1"/>
            </w14:solidFill>
          </w14:textFill>
        </w:rPr>
        <w:t>应</w:t>
      </w:r>
      <w:r>
        <w:rPr>
          <w:rFonts w:ascii="仿宋_GB2312" w:cs="仿宋_GB2312"/>
          <w:color w:val="000000" w:themeColor="text1"/>
          <w:szCs w:val="32"/>
          <w14:textFill>
            <w14:solidFill>
              <w14:schemeClr w14:val="tx1"/>
            </w14:solidFill>
          </w14:textFill>
        </w:rPr>
        <w:t>设置密闭式金属大门</w:t>
      </w:r>
      <w:r>
        <w:rPr>
          <w:rFonts w:hint="eastAsia" w:ascii="仿宋_GB2312" w:cs="仿宋_GB2312"/>
          <w:color w:val="000000" w:themeColor="text1"/>
          <w:szCs w:val="32"/>
          <w14:textFill>
            <w14:solidFill>
              <w14:schemeClr w14:val="tx1"/>
            </w14:solidFill>
          </w14:textFill>
        </w:rPr>
        <w:t>且底部悬空高度不大于</w:t>
      </w:r>
      <w:r>
        <w:rPr>
          <w:rFonts w:hint="eastAsia" w:ascii="仿宋_GB2312" w:cs="仿宋_GB2312"/>
          <w:color w:val="000000" w:themeColor="text1"/>
          <w:szCs w:val="32"/>
          <w:lang w:val="en-US" w:eastAsia="zh-CN"/>
          <w14:textFill>
            <w14:solidFill>
              <w14:schemeClr w14:val="tx1"/>
            </w14:solidFill>
          </w14:textFill>
        </w:rPr>
        <w:t>1</w:t>
      </w:r>
      <w:r>
        <w:rPr>
          <w:rFonts w:hint="eastAsia" w:ascii="仿宋_GB2312" w:cs="仿宋_GB2312"/>
          <w:color w:val="000000" w:themeColor="text1"/>
          <w:szCs w:val="32"/>
          <w14:textFill>
            <w14:solidFill>
              <w14:schemeClr w14:val="tx1"/>
            </w14:solidFill>
          </w14:textFill>
        </w:rPr>
        <w:t>00mm</w:t>
      </w:r>
      <w:r>
        <w:rPr>
          <w:rFonts w:ascii="仿宋_GB2312" w:cs="仿宋_GB2312"/>
          <w:color w:val="000000" w:themeColor="text1"/>
          <w:szCs w:val="32"/>
          <w14:textFill>
            <w14:solidFill>
              <w14:schemeClr w14:val="tx1"/>
            </w14:solidFill>
          </w14:textFill>
        </w:rPr>
        <w:t>、标识有企业名称的门头，并美化与围挡相适应成为一体，彰显企业文化。出入口应实行人车分流。</w:t>
      </w:r>
    </w:p>
    <w:p w14:paraId="1C7A08ED">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黑体" w:hAnsi="黑体" w:eastAsia="黑体" w:cs="黑体"/>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（五）在道路上施工、作业等影响交通的，施工单位应当增设施工临时便道，方便行人、车辆通行，因设置围挡需临时改道、变道的，应当设置指示引导标志。</w:t>
      </w:r>
    </w:p>
    <w:p w14:paraId="0443FC99">
      <w:pPr>
        <w:keepNext w:val="0"/>
        <w:keepLines w:val="0"/>
        <w:pageBreakBefore w:val="0"/>
        <w:widowControl w:val="0"/>
        <w:kinsoku/>
        <w:overflowPunct/>
        <w:topLinePunct w:val="0"/>
        <w:autoSpaceDN/>
        <w:bidi w:val="0"/>
        <w:adjustRightInd/>
        <w:snapToGrid/>
        <w:spacing w:line="560" w:lineRule="exact"/>
        <w:jc w:val="center"/>
        <w:textAlignment w:val="auto"/>
        <w:rPr>
          <w:rFonts w:ascii="黑体" w:hAnsi="黑体" w:eastAsia="黑体" w:cs="黑体"/>
          <w:color w:val="000000" w:themeColor="text1"/>
          <w:szCs w:val="32"/>
          <w14:textFill>
            <w14:solidFill>
              <w14:schemeClr w14:val="tx1"/>
            </w14:solidFill>
          </w14:textFill>
        </w:rPr>
      </w:pPr>
      <w:r>
        <w:rPr>
          <w:rFonts w:hint="eastAsia" w:ascii="黑体" w:hAnsi="黑体" w:eastAsia="黑体" w:cs="黑体"/>
          <w:color w:val="000000" w:themeColor="text1"/>
          <w:szCs w:val="32"/>
          <w14:textFill>
            <w14:solidFill>
              <w14:schemeClr w14:val="tx1"/>
            </w14:solidFill>
          </w14:textFill>
        </w:rPr>
        <w:t>第四章 围挡管理</w:t>
      </w:r>
    </w:p>
    <w:p w14:paraId="0392ED13">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b/>
          <w:bCs/>
          <w:color w:val="000000" w:themeColor="text1"/>
          <w:szCs w:val="32"/>
          <w14:textFill>
            <w14:solidFill>
              <w14:schemeClr w14:val="tx1"/>
            </w14:solidFill>
          </w14:textFill>
        </w:rPr>
        <w:t>第</w:t>
      </w:r>
      <w:r>
        <w:rPr>
          <w:rFonts w:hint="eastAsia" w:ascii="仿宋_GB2312" w:hAnsi="仿宋_GB2312" w:cs="仿宋_GB2312"/>
          <w:b/>
          <w:bCs/>
          <w:color w:val="000000" w:themeColor="text1"/>
          <w:szCs w:val="32"/>
          <w:lang w:val="en-US" w:eastAsia="zh-CN"/>
          <w14:textFill>
            <w14:solidFill>
              <w14:schemeClr w14:val="tx1"/>
            </w14:solidFill>
          </w14:textFill>
        </w:rPr>
        <w:t>十</w:t>
      </w:r>
      <w:r>
        <w:rPr>
          <w:rFonts w:hint="eastAsia" w:ascii="仿宋_GB2312" w:hAnsi="仿宋_GB2312" w:cs="仿宋_GB2312"/>
          <w:b/>
          <w:bCs/>
          <w:color w:val="000000" w:themeColor="text1"/>
          <w:szCs w:val="32"/>
          <w14:textFill>
            <w14:solidFill>
              <w14:schemeClr w14:val="tx1"/>
            </w14:solidFill>
          </w14:textFill>
        </w:rPr>
        <w:t>条</w:t>
      </w:r>
      <w:r>
        <w:rPr>
          <w:rFonts w:hint="eastAsia" w:ascii="仿宋_GB2312" w:hAnsi="仿宋_GB2312" w:cs="仿宋_GB2312"/>
          <w:color w:val="000000" w:themeColor="text1"/>
          <w:szCs w:val="32"/>
          <w14:textFill>
            <w14:solidFill>
              <w14:schemeClr w14:val="tx1"/>
            </w14:solidFill>
          </w14:textFill>
        </w:rPr>
        <w:t xml:space="preserve"> 工程建设、施工、监理单位在施工前务必按照标准进行围挡设置，并安排专人负责围挡设施的维护工作，形成定期巡查机制。</w:t>
      </w:r>
    </w:p>
    <w:p w14:paraId="280740E2">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b/>
          <w:bCs/>
          <w:color w:val="000000" w:themeColor="text1"/>
          <w:szCs w:val="32"/>
          <w14:textFill>
            <w14:solidFill>
              <w14:schemeClr w14:val="tx1"/>
            </w14:solidFill>
          </w14:textFill>
        </w:rPr>
        <w:t>第</w:t>
      </w:r>
      <w:r>
        <w:rPr>
          <w:rFonts w:hint="eastAsia" w:ascii="仿宋_GB2312" w:hAnsi="仿宋_GB2312" w:cs="仿宋_GB2312"/>
          <w:b/>
          <w:bCs/>
          <w:color w:val="000000" w:themeColor="text1"/>
          <w:szCs w:val="32"/>
          <w:lang w:val="en-US" w:eastAsia="zh-CN"/>
          <w14:textFill>
            <w14:solidFill>
              <w14:schemeClr w14:val="tx1"/>
            </w14:solidFill>
          </w14:textFill>
        </w:rPr>
        <w:t>十一</w:t>
      </w:r>
      <w:r>
        <w:rPr>
          <w:rFonts w:hint="eastAsia" w:ascii="仿宋_GB2312" w:hAnsi="仿宋_GB2312" w:cs="仿宋_GB2312"/>
          <w:b/>
          <w:bCs/>
          <w:color w:val="000000" w:themeColor="text1"/>
          <w:szCs w:val="32"/>
          <w14:textFill>
            <w14:solidFill>
              <w14:schemeClr w14:val="tx1"/>
            </w14:solidFill>
          </w14:textFill>
        </w:rPr>
        <w:t>条</w:t>
      </w:r>
      <w:r>
        <w:rPr>
          <w:rFonts w:hint="eastAsia" w:ascii="仿宋_GB2312" w:hAnsi="仿宋_GB2312" w:cs="仿宋_GB2312"/>
          <w:b/>
          <w:bCs/>
          <w:color w:val="000000" w:themeColor="text1"/>
          <w:szCs w:val="32"/>
          <w:lang w:val="en-US" w:eastAsia="zh-CN"/>
          <w14:textFill>
            <w14:solidFill>
              <w14:schemeClr w14:val="tx1"/>
            </w14:solidFill>
          </w14:textFill>
        </w:rPr>
        <w:t xml:space="preserve"> </w:t>
      </w:r>
      <w:r>
        <w:rPr>
          <w:rFonts w:hint="eastAsia" w:ascii="仿宋_GB2312" w:hAnsi="仿宋_GB2312" w:cs="仿宋_GB2312"/>
          <w:color w:val="000000" w:themeColor="text1"/>
          <w:szCs w:val="32"/>
          <w14:textFill>
            <w14:solidFill>
              <w14:schemeClr w14:val="tx1"/>
            </w14:solidFill>
          </w14:textFill>
        </w:rPr>
        <w:t>在围挡使用阶段，建设、施工、监理等有关单位应加强对围挡的日常巡查和维护。重点巡查检查以下内容：</w:t>
      </w:r>
    </w:p>
    <w:p w14:paraId="272E0D7D">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（一）围挡是否存在基础积水、开裂、倾斜、变形等安全隐患。发现上述情况的应及时加固、处理，存在可能倒塌等即时危险的，应立即设置警示标识、派专人进行看护并及时排除隐患。</w:t>
      </w:r>
    </w:p>
    <w:p w14:paraId="3EE3984E">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黑体" w:hAnsi="黑体" w:eastAsia="黑体" w:cs="黑体"/>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（二）围挡表面装饰及广告是否完好、整洁、美观。发现表面装饰及广告出现破损、涂污情况的，应及时进行修补、保洁。</w:t>
      </w:r>
    </w:p>
    <w:p w14:paraId="3F6CE8DE">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b/>
          <w:bCs/>
          <w:color w:val="000000" w:themeColor="text1"/>
          <w:szCs w:val="32"/>
          <w14:textFill>
            <w14:solidFill>
              <w14:schemeClr w14:val="tx1"/>
            </w14:solidFill>
          </w14:textFill>
        </w:rPr>
        <w:t>第</w:t>
      </w:r>
      <w:r>
        <w:rPr>
          <w:rFonts w:hint="eastAsia" w:ascii="仿宋_GB2312" w:hAnsi="仿宋_GB2312" w:cs="仿宋_GB2312"/>
          <w:b/>
          <w:bCs/>
          <w:color w:val="000000" w:themeColor="text1"/>
          <w:szCs w:val="32"/>
          <w:lang w:val="en-US" w:eastAsia="zh-CN"/>
          <w14:textFill>
            <w14:solidFill>
              <w14:schemeClr w14:val="tx1"/>
            </w14:solidFill>
          </w14:textFill>
        </w:rPr>
        <w:t>十二</w:t>
      </w:r>
      <w:r>
        <w:rPr>
          <w:rFonts w:hint="eastAsia" w:ascii="仿宋_GB2312" w:hAnsi="仿宋_GB2312" w:cs="仿宋_GB2312"/>
          <w:b/>
          <w:bCs/>
          <w:color w:val="000000" w:themeColor="text1"/>
          <w:szCs w:val="32"/>
          <w14:textFill>
            <w14:solidFill>
              <w14:schemeClr w14:val="tx1"/>
            </w14:solidFill>
          </w14:textFill>
        </w:rPr>
        <w:t>条</w:t>
      </w:r>
      <w:r>
        <w:rPr>
          <w:rFonts w:hint="eastAsia" w:ascii="仿宋_GB2312" w:hAnsi="仿宋_GB2312" w:cs="仿宋_GB2312"/>
          <w:color w:val="000000" w:themeColor="text1"/>
          <w:szCs w:val="32"/>
          <w14:textFill>
            <w14:solidFill>
              <w14:schemeClr w14:val="tx1"/>
            </w14:solidFill>
          </w14:textFill>
        </w:rPr>
        <w:t xml:space="preserve"> 各街道办事处、行业主管部门按照职责分工，加大监管执法力度。发现围挡存在开裂、破损、污染等情形的，按照相关法律法规进行查处，并及时督促相关单位进行更新和维护。</w:t>
      </w:r>
    </w:p>
    <w:p w14:paraId="4C3C97EC">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黑体" w:hAnsi="黑体" w:eastAsia="黑体" w:cs="黑体"/>
          <w:color w:val="000000" w:themeColor="text1"/>
          <w:szCs w:val="32"/>
          <w14:textFill>
            <w14:solidFill>
              <w14:schemeClr w14:val="tx1"/>
            </w14:solidFill>
          </w14:textFill>
        </w:rPr>
      </w:pPr>
      <w:r>
        <w:rPr>
          <w:rFonts w:hint="eastAsia" w:ascii="仿宋_GB2312" w:hAnsi="仿宋_GB2312" w:cs="仿宋_GB2312"/>
          <w:b/>
          <w:bCs/>
          <w:color w:val="000000" w:themeColor="text1"/>
          <w:szCs w:val="32"/>
          <w14:textFill>
            <w14:solidFill>
              <w14:schemeClr w14:val="tx1"/>
            </w14:solidFill>
          </w14:textFill>
        </w:rPr>
        <w:t>第</w:t>
      </w:r>
      <w:r>
        <w:rPr>
          <w:rFonts w:hint="eastAsia" w:ascii="仿宋_GB2312" w:hAnsi="仿宋_GB2312" w:cs="仿宋_GB2312"/>
          <w:b/>
          <w:bCs/>
          <w:color w:val="000000" w:themeColor="text1"/>
          <w:szCs w:val="32"/>
          <w:lang w:val="en-US" w:eastAsia="zh-CN"/>
          <w14:textFill>
            <w14:solidFill>
              <w14:schemeClr w14:val="tx1"/>
            </w14:solidFill>
          </w14:textFill>
        </w:rPr>
        <w:t>十三</w:t>
      </w:r>
      <w:r>
        <w:rPr>
          <w:rFonts w:hint="eastAsia" w:ascii="仿宋_GB2312" w:hAnsi="仿宋_GB2312" w:cs="仿宋_GB2312"/>
          <w:b/>
          <w:bCs/>
          <w:color w:val="000000" w:themeColor="text1"/>
          <w:szCs w:val="32"/>
          <w14:textFill>
            <w14:solidFill>
              <w14:schemeClr w14:val="tx1"/>
            </w14:solidFill>
          </w14:textFill>
        </w:rPr>
        <w:t>条</w:t>
      </w:r>
      <w:r>
        <w:rPr>
          <w:rFonts w:hint="eastAsia" w:ascii="仿宋_GB2312" w:hAnsi="仿宋_GB2312" w:cs="仿宋_GB2312"/>
          <w:color w:val="000000" w:themeColor="text1"/>
          <w:szCs w:val="32"/>
          <w14:textFill>
            <w14:solidFill>
              <w14:schemeClr w14:val="tx1"/>
            </w14:solidFill>
          </w14:textFill>
        </w:rPr>
        <w:t xml:space="preserve"> 有关围挡安全文明施工管理的其他要求按照相关行业管理规定执行。</w:t>
      </w:r>
    </w:p>
    <w:p w14:paraId="075028B1">
      <w:pPr>
        <w:keepNext w:val="0"/>
        <w:keepLines w:val="0"/>
        <w:pageBreakBefore w:val="0"/>
        <w:widowControl w:val="0"/>
        <w:kinsoku/>
        <w:overflowPunct/>
        <w:topLinePunct w:val="0"/>
        <w:autoSpaceDN/>
        <w:bidi w:val="0"/>
        <w:adjustRightInd/>
        <w:snapToGrid/>
        <w:spacing w:line="560" w:lineRule="exact"/>
        <w:jc w:val="center"/>
        <w:textAlignment w:val="auto"/>
        <w:rPr>
          <w:rFonts w:ascii="黑体" w:hAnsi="黑体" w:eastAsia="黑体" w:cs="黑体"/>
          <w:color w:val="000000" w:themeColor="text1"/>
          <w:szCs w:val="32"/>
          <w14:textFill>
            <w14:solidFill>
              <w14:schemeClr w14:val="tx1"/>
            </w14:solidFill>
          </w14:textFill>
        </w:rPr>
      </w:pPr>
    </w:p>
    <w:p w14:paraId="628957E7">
      <w:pPr>
        <w:keepNext w:val="0"/>
        <w:keepLines w:val="0"/>
        <w:pageBreakBefore w:val="0"/>
        <w:widowControl w:val="0"/>
        <w:kinsoku/>
        <w:overflowPunct/>
        <w:topLinePunct w:val="0"/>
        <w:autoSpaceDN/>
        <w:bidi w:val="0"/>
        <w:adjustRightInd/>
        <w:snapToGrid/>
        <w:spacing w:line="560" w:lineRule="exact"/>
        <w:jc w:val="center"/>
        <w:textAlignment w:val="auto"/>
        <w:rPr>
          <w:rFonts w:ascii="仿宋_GB2312" w:hAnsi="仿宋_GB2312" w:cs="仿宋_GB2312"/>
          <w:color w:val="000000" w:themeColor="text1"/>
          <w:szCs w:val="32"/>
          <w14:textFill>
            <w14:solidFill>
              <w14:schemeClr w14:val="tx1"/>
            </w14:solidFill>
          </w14:textFill>
        </w:rPr>
      </w:pPr>
      <w:r>
        <w:rPr>
          <w:rFonts w:hint="eastAsia" w:ascii="黑体" w:hAnsi="黑体" w:eastAsia="黑体" w:cs="黑体"/>
          <w:color w:val="000000" w:themeColor="text1"/>
          <w:szCs w:val="32"/>
          <w14:textFill>
            <w14:solidFill>
              <w14:schemeClr w14:val="tx1"/>
            </w14:solidFill>
          </w14:textFill>
        </w:rPr>
        <w:t>第五章 附则</w:t>
      </w:r>
    </w:p>
    <w:p w14:paraId="37D77D37">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b/>
          <w:bCs/>
          <w:color w:val="000000" w:themeColor="text1"/>
          <w:szCs w:val="32"/>
          <w14:textFill>
            <w14:solidFill>
              <w14:schemeClr w14:val="tx1"/>
            </w14:solidFill>
          </w14:textFill>
        </w:rPr>
        <w:t>第十</w:t>
      </w:r>
      <w:r>
        <w:rPr>
          <w:rFonts w:hint="eastAsia" w:ascii="仿宋_GB2312" w:hAnsi="仿宋_GB2312" w:cs="仿宋_GB2312"/>
          <w:b/>
          <w:bCs/>
          <w:color w:val="000000" w:themeColor="text1"/>
          <w:szCs w:val="32"/>
          <w:lang w:val="en-US" w:eastAsia="zh-CN"/>
          <w14:textFill>
            <w14:solidFill>
              <w14:schemeClr w14:val="tx1"/>
            </w14:solidFill>
          </w14:textFill>
        </w:rPr>
        <w:t>四</w:t>
      </w:r>
      <w:r>
        <w:rPr>
          <w:rFonts w:hint="eastAsia" w:ascii="仿宋_GB2312" w:hAnsi="仿宋_GB2312" w:cs="仿宋_GB2312"/>
          <w:b/>
          <w:bCs/>
          <w:color w:val="000000" w:themeColor="text1"/>
          <w:szCs w:val="32"/>
          <w14:textFill>
            <w14:solidFill>
              <w14:schemeClr w14:val="tx1"/>
            </w14:solidFill>
          </w14:textFill>
        </w:rPr>
        <w:t>条</w:t>
      </w:r>
      <w:r>
        <w:rPr>
          <w:rFonts w:hint="eastAsia" w:ascii="仿宋_GB2312" w:hAnsi="仿宋_GB2312" w:cs="仿宋_GB2312"/>
          <w:color w:val="000000" w:themeColor="text1"/>
          <w:szCs w:val="32"/>
          <w14:textFill>
            <w14:solidFill>
              <w14:schemeClr w14:val="tx1"/>
            </w14:solidFill>
          </w14:textFill>
        </w:rPr>
        <w:t xml:space="preserve"> 自发布之日起施行，有效期为2年。</w:t>
      </w:r>
    </w:p>
    <w:p w14:paraId="69565993">
      <w:pPr>
        <w:keepNext w:val="0"/>
        <w:keepLines w:val="0"/>
        <w:pageBreakBefore w:val="0"/>
        <w:widowControl w:val="0"/>
        <w:kinsoku/>
        <w:overflowPunct/>
        <w:topLinePunct w:val="0"/>
        <w:autoSpaceDN/>
        <w:bidi w:val="0"/>
        <w:adjustRightInd/>
        <w:snapToGrid/>
        <w:spacing w:line="560" w:lineRule="exact"/>
        <w:ind w:firstLine="608" w:firstLineChars="200"/>
        <w:textAlignment w:val="auto"/>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b/>
          <w:bCs/>
          <w:color w:val="000000" w:themeColor="text1"/>
          <w:szCs w:val="32"/>
          <w14:textFill>
            <w14:solidFill>
              <w14:schemeClr w14:val="tx1"/>
            </w14:solidFill>
          </w14:textFill>
        </w:rPr>
        <w:t>第十</w:t>
      </w:r>
      <w:r>
        <w:rPr>
          <w:rFonts w:hint="eastAsia" w:ascii="仿宋_GB2312" w:hAnsi="仿宋_GB2312" w:cs="仿宋_GB2312"/>
          <w:b/>
          <w:bCs/>
          <w:color w:val="000000" w:themeColor="text1"/>
          <w:szCs w:val="32"/>
          <w:lang w:val="en-US" w:eastAsia="zh-CN"/>
          <w14:textFill>
            <w14:solidFill>
              <w14:schemeClr w14:val="tx1"/>
            </w14:solidFill>
          </w14:textFill>
        </w:rPr>
        <w:t>五</w:t>
      </w:r>
      <w:r>
        <w:rPr>
          <w:rFonts w:hint="eastAsia" w:ascii="仿宋_GB2312" w:hAnsi="仿宋_GB2312" w:cs="仿宋_GB2312"/>
          <w:b/>
          <w:bCs/>
          <w:color w:val="000000" w:themeColor="text1"/>
          <w:szCs w:val="32"/>
          <w14:textFill>
            <w14:solidFill>
              <w14:schemeClr w14:val="tx1"/>
            </w14:solidFill>
          </w14:textFill>
        </w:rPr>
        <w:t>条</w:t>
      </w:r>
      <w:r>
        <w:rPr>
          <w:rFonts w:hint="eastAsia" w:ascii="仿宋_GB2312" w:hAnsi="仿宋_GB2312" w:cs="仿宋_GB2312"/>
          <w:color w:val="000000" w:themeColor="text1"/>
          <w:szCs w:val="32"/>
          <w14:textFill>
            <w14:solidFill>
              <w14:schemeClr w14:val="tx1"/>
            </w14:solidFill>
          </w14:textFill>
        </w:rPr>
        <w:t xml:space="preserve"> 本办法相关条文如与现行的其他法律、法规和规范性文件有冲突，如无特别说明，应以上位法和制定主体层级较高的文件内容为准。</w:t>
      </w:r>
    </w:p>
    <w:p w14:paraId="6F7CB475">
      <w:pPr>
        <w:keepNext w:val="0"/>
        <w:keepLines w:val="0"/>
        <w:pageBreakBefore w:val="0"/>
        <w:widowControl w:val="0"/>
        <w:kinsoku/>
        <w:overflowPunct/>
        <w:topLinePunct w:val="0"/>
        <w:autoSpaceDN/>
        <w:bidi w:val="0"/>
        <w:adjustRightInd/>
        <w:snapToGrid/>
        <w:spacing w:line="560" w:lineRule="exact"/>
        <w:textAlignment w:val="auto"/>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t>附件：</w:t>
      </w:r>
    </w:p>
    <w:p w14:paraId="7771A0CA">
      <w:pPr>
        <w:keepNext w:val="0"/>
        <w:keepLines w:val="0"/>
        <w:pageBreakBefore w:val="0"/>
        <w:widowControl w:val="0"/>
        <w:kinsoku/>
        <w:overflowPunct/>
        <w:topLinePunct w:val="0"/>
        <w:autoSpaceDN/>
        <w:bidi w:val="0"/>
        <w:adjustRightInd/>
        <w:snapToGrid/>
        <w:spacing w:line="560" w:lineRule="exact"/>
        <w:jc w:val="center"/>
        <w:textAlignment w:val="auto"/>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t>围挡管理办法适用范围</w:t>
      </w:r>
    </w:p>
    <w:p w14:paraId="10D42181">
      <w:pPr>
        <w:keepNext w:val="0"/>
        <w:keepLines w:val="0"/>
        <w:pageBreakBefore w:val="0"/>
        <w:widowControl w:val="0"/>
        <w:kinsoku/>
        <w:overflowPunct/>
        <w:topLinePunct w:val="0"/>
        <w:autoSpaceDN/>
        <w:bidi w:val="0"/>
        <w:adjustRightInd/>
        <w:snapToGrid/>
        <w:spacing w:line="560" w:lineRule="exact"/>
        <w:jc w:val="center"/>
        <w:textAlignment w:val="auto"/>
        <w:rPr>
          <w:rFonts w:hint="default" w:asciiTheme="majorEastAsia" w:hAnsiTheme="majorEastAsia" w:eastAsiaTheme="majorEastAsia" w:cstheme="majorEastAsia"/>
          <w:color w:val="000000" w:themeColor="text1"/>
          <w:sz w:val="28"/>
          <w:szCs w:val="28"/>
          <w:lang w:val="en-US" w:eastAsia="zh-CN"/>
          <w14:textFill>
            <w14:solidFill>
              <w14:schemeClr w14:val="tx1"/>
            </w14:solidFill>
          </w14:textFill>
        </w:rPr>
      </w:pPr>
    </w:p>
    <w:p w14:paraId="71202AB2">
      <w:pPr>
        <w:keepNext w:val="0"/>
        <w:keepLines w:val="0"/>
        <w:pageBreakBefore w:val="0"/>
        <w:widowControl w:val="0"/>
        <w:kinsoku/>
        <w:overflowPunct/>
        <w:topLinePunct w:val="0"/>
        <w:autoSpaceDN/>
        <w:bidi w:val="0"/>
        <w:adjustRightInd/>
        <w:snapToGrid/>
        <w:spacing w:line="560" w:lineRule="exact"/>
        <w:textAlignment w:val="auto"/>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20955</wp:posOffset>
            </wp:positionH>
            <wp:positionV relativeFrom="paragraph">
              <wp:posOffset>67945</wp:posOffset>
            </wp:positionV>
            <wp:extent cx="5615940" cy="5530850"/>
            <wp:effectExtent l="0" t="0" r="3810" b="12700"/>
            <wp:wrapNone/>
            <wp:docPr id="1" name="图片 1" descr="c69c6f790859d3f9628910942664b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9c6f790859d3f9628910942664baf"/>
                    <pic:cNvPicPr>
                      <a:picLocks noChangeAspect="1"/>
                    </pic:cNvPicPr>
                  </pic:nvPicPr>
                  <pic:blipFill>
                    <a:blip r:embed="rId6"/>
                    <a:stretch>
                      <a:fillRect/>
                    </a:stretch>
                  </pic:blipFill>
                  <pic:spPr>
                    <a:xfrm>
                      <a:off x="0" y="0"/>
                      <a:ext cx="5615940" cy="5530850"/>
                    </a:xfrm>
                    <a:prstGeom prst="rect">
                      <a:avLst/>
                    </a:prstGeom>
                  </pic:spPr>
                </pic:pic>
              </a:graphicData>
            </a:graphic>
          </wp:anchor>
        </w:drawing>
      </w:r>
    </w:p>
    <w:sectPr>
      <w:headerReference r:id="rId3" w:type="default"/>
      <w:footerReference r:id="rId4" w:type="default"/>
      <w:pgSz w:w="11906" w:h="16838"/>
      <w:pgMar w:top="2098" w:right="1474" w:bottom="1984" w:left="1587" w:header="851" w:footer="1474" w:gutter="0"/>
      <w:pgNumType w:start="1"/>
      <w:cols w:space="425" w:num="1"/>
      <w:docGrid w:type="linesAndChars" w:linePitch="590" w:charSpace="-333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8243DB3-FEF0-4738-AC1E-5EDDCB3C47D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05182730-00B5-4650-BAAC-1CB81FF61336}"/>
  </w:font>
  <w:font w:name="方正小标宋简体">
    <w:panose1 w:val="02010600010101010101"/>
    <w:charset w:val="86"/>
    <w:family w:val="auto"/>
    <w:pitch w:val="default"/>
    <w:sig w:usb0="00000001" w:usb1="080E0000" w:usb2="00000000" w:usb3="00000000" w:csb0="00040000" w:csb1="00000000"/>
    <w:embedRegular r:id="rId3" w:fontKey="{7A186F5E-9C45-4C28-9168-DD3C4EFE6FB4}"/>
  </w:font>
  <w:font w:name="楷体_GB2312">
    <w:panose1 w:val="02010609030101010101"/>
    <w:charset w:val="86"/>
    <w:family w:val="auto"/>
    <w:pitch w:val="default"/>
    <w:sig w:usb0="00000001" w:usb1="080E0000" w:usb2="00000000" w:usb3="00000000" w:csb0="00040000" w:csb1="00000000"/>
    <w:embedRegular r:id="rId4" w:fontKey="{3BC84AB9-90A7-45E4-95C2-863E84B0F1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9F388">
    <w:pPr>
      <w:pStyle w:val="2"/>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4A2F20">
                          <w:pPr>
                            <w:pStyle w:val="2"/>
                            <w:rPr>
                              <w:rStyle w:val="7"/>
                              <w:rFonts w:ascii="宋体" w:hAnsi="宋体" w:eastAsia="宋体"/>
                              <w:sz w:val="28"/>
                              <w:szCs w:val="28"/>
                            </w:rPr>
                          </w:pPr>
                          <w:r>
                            <w:rPr>
                              <w:rStyle w:val="7"/>
                              <w:rFonts w:hint="eastAsia" w:ascii="宋体" w:hAnsi="宋体" w:eastAsia="宋体"/>
                              <w:sz w:val="28"/>
                              <w:szCs w:val="28"/>
                            </w:rPr>
                            <w:t xml:space="preserve">— </w:t>
                          </w:r>
                          <w:r>
                            <w:rPr>
                              <w:rStyle w:val="7"/>
                              <w:rFonts w:ascii="宋体" w:hAnsi="宋体" w:eastAsia="宋体"/>
                              <w:sz w:val="28"/>
                              <w:szCs w:val="28"/>
                            </w:rPr>
                            <w:fldChar w:fldCharType="begin"/>
                          </w:r>
                          <w:r>
                            <w:rPr>
                              <w:rStyle w:val="7"/>
                              <w:rFonts w:ascii="宋体" w:hAnsi="宋体" w:eastAsia="宋体"/>
                              <w:sz w:val="28"/>
                              <w:szCs w:val="28"/>
                            </w:rPr>
                            <w:instrText xml:space="preserve">PAGE  </w:instrText>
                          </w:r>
                          <w:r>
                            <w:rPr>
                              <w:rStyle w:val="7"/>
                              <w:rFonts w:ascii="宋体" w:hAnsi="宋体" w:eastAsia="宋体"/>
                              <w:sz w:val="28"/>
                              <w:szCs w:val="28"/>
                            </w:rPr>
                            <w:fldChar w:fldCharType="separate"/>
                          </w:r>
                          <w:r>
                            <w:rPr>
                              <w:rStyle w:val="7"/>
                              <w:rFonts w:ascii="宋体" w:hAnsi="宋体" w:eastAsia="宋体"/>
                              <w:sz w:val="28"/>
                              <w:szCs w:val="28"/>
                            </w:rPr>
                            <w:t>7</w:t>
                          </w:r>
                          <w:r>
                            <w:rPr>
                              <w:rStyle w:val="7"/>
                              <w:rFonts w:ascii="宋体" w:hAnsi="宋体" w:eastAsia="宋体"/>
                              <w:sz w:val="28"/>
                              <w:szCs w:val="28"/>
                            </w:rPr>
                            <w:fldChar w:fldCharType="end"/>
                          </w:r>
                          <w:r>
                            <w:rPr>
                              <w:rStyle w:val="7"/>
                              <w:rFonts w:hint="eastAsia" w:ascii="宋体" w:hAnsi="宋体" w:eastAsia="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B4A2F20">
                    <w:pPr>
                      <w:pStyle w:val="2"/>
                      <w:rPr>
                        <w:rStyle w:val="7"/>
                        <w:rFonts w:ascii="宋体" w:hAnsi="宋体" w:eastAsia="宋体"/>
                        <w:sz w:val="28"/>
                        <w:szCs w:val="28"/>
                      </w:rPr>
                    </w:pPr>
                    <w:r>
                      <w:rPr>
                        <w:rStyle w:val="7"/>
                        <w:rFonts w:hint="eastAsia" w:ascii="宋体" w:hAnsi="宋体" w:eastAsia="宋体"/>
                        <w:sz w:val="28"/>
                        <w:szCs w:val="28"/>
                      </w:rPr>
                      <w:t xml:space="preserve">— </w:t>
                    </w:r>
                    <w:r>
                      <w:rPr>
                        <w:rStyle w:val="7"/>
                        <w:rFonts w:ascii="宋体" w:hAnsi="宋体" w:eastAsia="宋体"/>
                        <w:sz w:val="28"/>
                        <w:szCs w:val="28"/>
                      </w:rPr>
                      <w:fldChar w:fldCharType="begin"/>
                    </w:r>
                    <w:r>
                      <w:rPr>
                        <w:rStyle w:val="7"/>
                        <w:rFonts w:ascii="宋体" w:hAnsi="宋体" w:eastAsia="宋体"/>
                        <w:sz w:val="28"/>
                        <w:szCs w:val="28"/>
                      </w:rPr>
                      <w:instrText xml:space="preserve">PAGE  </w:instrText>
                    </w:r>
                    <w:r>
                      <w:rPr>
                        <w:rStyle w:val="7"/>
                        <w:rFonts w:ascii="宋体" w:hAnsi="宋体" w:eastAsia="宋体"/>
                        <w:sz w:val="28"/>
                        <w:szCs w:val="28"/>
                      </w:rPr>
                      <w:fldChar w:fldCharType="separate"/>
                    </w:r>
                    <w:r>
                      <w:rPr>
                        <w:rStyle w:val="7"/>
                        <w:rFonts w:ascii="宋体" w:hAnsi="宋体" w:eastAsia="宋体"/>
                        <w:sz w:val="28"/>
                        <w:szCs w:val="28"/>
                      </w:rPr>
                      <w:t>7</w:t>
                    </w:r>
                    <w:r>
                      <w:rPr>
                        <w:rStyle w:val="7"/>
                        <w:rFonts w:ascii="宋体" w:hAnsi="宋体" w:eastAsia="宋体"/>
                        <w:sz w:val="28"/>
                        <w:szCs w:val="28"/>
                      </w:rPr>
                      <w:fldChar w:fldCharType="end"/>
                    </w:r>
                    <w:r>
                      <w:rPr>
                        <w:rStyle w:val="7"/>
                        <w:rFonts w:hint="eastAsia" w:ascii="宋体" w:hAnsi="宋体" w:eastAsia="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F90A8">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E60"/>
    <w:rsid w:val="00105A69"/>
    <w:rsid w:val="00241699"/>
    <w:rsid w:val="00384996"/>
    <w:rsid w:val="00402007"/>
    <w:rsid w:val="004F172D"/>
    <w:rsid w:val="005B24DB"/>
    <w:rsid w:val="00636E60"/>
    <w:rsid w:val="00781096"/>
    <w:rsid w:val="007C7FFB"/>
    <w:rsid w:val="00876E72"/>
    <w:rsid w:val="008916B8"/>
    <w:rsid w:val="00957FE7"/>
    <w:rsid w:val="009C2265"/>
    <w:rsid w:val="00B101FC"/>
    <w:rsid w:val="03EF3FDF"/>
    <w:rsid w:val="041035D7"/>
    <w:rsid w:val="09133DC7"/>
    <w:rsid w:val="0DBA991E"/>
    <w:rsid w:val="14472B8B"/>
    <w:rsid w:val="1AD3038B"/>
    <w:rsid w:val="1E6B537E"/>
    <w:rsid w:val="23FA7B6E"/>
    <w:rsid w:val="23FFB1FB"/>
    <w:rsid w:val="252D4E07"/>
    <w:rsid w:val="290007D2"/>
    <w:rsid w:val="29CF3679"/>
    <w:rsid w:val="2EFDB5B4"/>
    <w:rsid w:val="2F8C090A"/>
    <w:rsid w:val="2FFDC6FC"/>
    <w:rsid w:val="359DD52A"/>
    <w:rsid w:val="37DD6ED9"/>
    <w:rsid w:val="37DE072C"/>
    <w:rsid w:val="398E674B"/>
    <w:rsid w:val="39FEDDA1"/>
    <w:rsid w:val="3A5CCAA3"/>
    <w:rsid w:val="3CAF7C17"/>
    <w:rsid w:val="3CF7B8EC"/>
    <w:rsid w:val="3DE70E53"/>
    <w:rsid w:val="3F7F353D"/>
    <w:rsid w:val="3FEBAC66"/>
    <w:rsid w:val="3FEF6CA4"/>
    <w:rsid w:val="43F53ECC"/>
    <w:rsid w:val="443600F6"/>
    <w:rsid w:val="44D91084"/>
    <w:rsid w:val="4EBF9A0B"/>
    <w:rsid w:val="4FFCFF54"/>
    <w:rsid w:val="519D1BB8"/>
    <w:rsid w:val="54D86AC4"/>
    <w:rsid w:val="55454A35"/>
    <w:rsid w:val="59FB92F8"/>
    <w:rsid w:val="5AB5136A"/>
    <w:rsid w:val="5CFFFCF2"/>
    <w:rsid w:val="5DBE4DA7"/>
    <w:rsid w:val="65FFDB0C"/>
    <w:rsid w:val="667BAF3D"/>
    <w:rsid w:val="66DC5ADF"/>
    <w:rsid w:val="67CDEE24"/>
    <w:rsid w:val="67E407D2"/>
    <w:rsid w:val="6BED9E4F"/>
    <w:rsid w:val="6FAB1CC8"/>
    <w:rsid w:val="6FF45550"/>
    <w:rsid w:val="75F72A13"/>
    <w:rsid w:val="77FB0299"/>
    <w:rsid w:val="7BCF54D5"/>
    <w:rsid w:val="7BDB3E22"/>
    <w:rsid w:val="7CFBE12C"/>
    <w:rsid w:val="7CFDA4D6"/>
    <w:rsid w:val="7DFFED85"/>
    <w:rsid w:val="7FDB8703"/>
    <w:rsid w:val="7FF574AD"/>
    <w:rsid w:val="7FF788E4"/>
    <w:rsid w:val="7FFF75C6"/>
    <w:rsid w:val="8ADA1DE6"/>
    <w:rsid w:val="96FB9BF4"/>
    <w:rsid w:val="AC7F1CDD"/>
    <w:rsid w:val="AE9D00AB"/>
    <w:rsid w:val="AFF7D161"/>
    <w:rsid w:val="B7DD2462"/>
    <w:rsid w:val="BAE7101E"/>
    <w:rsid w:val="BBAD8DD5"/>
    <w:rsid w:val="BCBE1CE3"/>
    <w:rsid w:val="BEDDD663"/>
    <w:rsid w:val="BF4B863A"/>
    <w:rsid w:val="BF6DCCA9"/>
    <w:rsid w:val="BFCF18AD"/>
    <w:rsid w:val="BFFF0ADC"/>
    <w:rsid w:val="C3DF492A"/>
    <w:rsid w:val="CF3329E5"/>
    <w:rsid w:val="CFD741B3"/>
    <w:rsid w:val="CFFC55A2"/>
    <w:rsid w:val="D36DFF7D"/>
    <w:rsid w:val="D7ED015A"/>
    <w:rsid w:val="DFFF3E8F"/>
    <w:rsid w:val="E63BA87C"/>
    <w:rsid w:val="EA2D2DA4"/>
    <w:rsid w:val="EC8F28DA"/>
    <w:rsid w:val="F1942DA1"/>
    <w:rsid w:val="F3EDCC5E"/>
    <w:rsid w:val="F4FE9920"/>
    <w:rsid w:val="F5FFACEF"/>
    <w:rsid w:val="F77E936D"/>
    <w:rsid w:val="F7BE9DD4"/>
    <w:rsid w:val="F7FE3D1A"/>
    <w:rsid w:val="FBAFA3B6"/>
    <w:rsid w:val="FBB76354"/>
    <w:rsid w:val="FBFFCC88"/>
    <w:rsid w:val="FD753306"/>
    <w:rsid w:val="FDFF00D7"/>
    <w:rsid w:val="FF3FF723"/>
    <w:rsid w:val="FF77768E"/>
    <w:rsid w:val="FF9AE047"/>
    <w:rsid w:val="FFAFDD23"/>
    <w:rsid w:val="FFB7BCEA"/>
    <w:rsid w:val="FFEB2D70"/>
    <w:rsid w:val="FFED850C"/>
    <w:rsid w:val="FFEF5BE4"/>
    <w:rsid w:val="FFF6A988"/>
    <w:rsid w:val="FFFE767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Autospacing="1" w:afterAutospacing="1"/>
      <w:jc w:val="left"/>
    </w:pPr>
    <w:rPr>
      <w:kern w:val="0"/>
      <w:sz w:val="24"/>
    </w:rPr>
  </w:style>
  <w:style w:type="character" w:styleId="7">
    <w:name w:val="page number"/>
    <w:basedOn w:val="6"/>
    <w:qFormat/>
    <w:uiPriority w:val="0"/>
  </w:style>
  <w:style w:type="character" w:customStyle="1" w:styleId="8">
    <w:name w:val="15"/>
    <w:basedOn w:val="6"/>
    <w:qFormat/>
    <w:uiPriority w:val="0"/>
    <w:rPr>
      <w:rFonts w:hint="default" w:ascii="Times New Roman" w:hAnsi="Times New Roman" w:cs="Times New Roman"/>
    </w:rPr>
  </w:style>
  <w:style w:type="character" w:customStyle="1" w:styleId="9">
    <w:name w:val="10"/>
    <w:basedOn w:val="6"/>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2903</Words>
  <Characters>2982</Characters>
  <Lines>1</Lines>
  <Paragraphs>1</Paragraphs>
  <TotalTime>8</TotalTime>
  <ScaleCrop>false</ScaleCrop>
  <LinksUpToDate>false</LinksUpToDate>
  <CharactersWithSpaces>3003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2025-03-07T23:30:00Z</dcterms:created>
  <dc:creator>Win10</dc:creator>
  <cp:lastModifiedBy>Friday</cp:lastModifiedBy>
  <cp:lastPrinted>2025-05-06T02:14:00Z</cp:lastPrinted>
  <dcterms:modified xsi:type="dcterms:W3CDTF">2025-05-07T00:56:46Z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28D352242C9F4B8B8CA9B39748A6FB3B_13</vt:lpwstr>
  </property>
  <property fmtid="{D5CDD505-2E9C-101B-9397-08002B2CF9AE}" pid="4" name="KSOTemplateDocerSaveRecord">
    <vt:lpwstr>eyJoZGlkIjoiNDM3YjBjZTE2OWM5NThmMzc3MmNjNWRlNjA3M2UyMWMiLCJ1c2VySWQiOiI0NDIzMzUwOTgifQ==</vt:lpwstr>
  </property>
</Properties>
</file>