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443"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653" w:hRule="atLeast"/>
        </w:trPr>
        <w:tc>
          <w:tcPr>
            <w:tcW w:w="10443" w:type="dxa"/>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60"/>
              </w:tabs>
              <w:kinsoku/>
              <w:wordWrap/>
              <w:overflowPunct/>
              <w:topLinePunct w:val="0"/>
              <w:autoSpaceDE/>
              <w:autoSpaceDN/>
              <w:bidi w:val="0"/>
              <w:adjustRightInd/>
              <w:snapToGrid/>
              <w:spacing w:before="0" w:beforeAutospacing="0" w:after="0" w:afterAutospacing="0" w:line="288" w:lineRule="atLeast"/>
              <w:ind w:left="0" w:right="0"/>
              <w:jc w:val="both"/>
              <w:textAlignment w:val="auto"/>
              <w:rPr>
                <w:rFonts w:hint="eastAsia" w:ascii="宋体" w:hAnsi="宋体" w:eastAsia="宋体" w:cs="宋体"/>
                <w:i w:val="0"/>
                <w:caps w:val="0"/>
                <w:color w:val="333333"/>
                <w:spacing w:val="-11"/>
                <w:sz w:val="28"/>
                <w:szCs w:val="28"/>
              </w:rPr>
            </w:pPr>
            <w:r>
              <w:rPr>
                <w:rFonts w:hint="eastAsia" w:ascii="宋体" w:hAnsi="宋体" w:eastAsia="宋体" w:cs="宋体"/>
                <w:i w:val="0"/>
                <w:caps w:val="0"/>
                <w:color w:val="135194"/>
                <w:spacing w:val="320"/>
                <w:kern w:val="0"/>
                <w:sz w:val="28"/>
                <w:szCs w:val="28"/>
                <w:bdr w:val="none" w:color="auto" w:sz="0" w:space="0"/>
                <w:fitText w:val="1200" w:id="660561111"/>
              </w:rPr>
              <w:t>标</w:t>
            </w:r>
            <w:r>
              <w:rPr>
                <w:rFonts w:hint="eastAsia" w:ascii="宋体" w:hAnsi="宋体" w:eastAsia="宋体" w:cs="宋体"/>
                <w:i w:val="0"/>
                <w:caps w:val="0"/>
                <w:color w:val="135194"/>
                <w:spacing w:val="0"/>
                <w:kern w:val="0"/>
                <w:sz w:val="28"/>
                <w:szCs w:val="28"/>
                <w:bdr w:val="none" w:color="auto" w:sz="0" w:space="0"/>
                <w:fitText w:val="1200" w:id="660561111"/>
              </w:rPr>
              <w:t>题</w:t>
            </w:r>
            <w:r>
              <w:rPr>
                <w:rFonts w:hint="eastAsia" w:ascii="宋体" w:hAnsi="宋体" w:eastAsia="宋体" w:cs="宋体"/>
                <w:i w:val="0"/>
                <w:caps w:val="0"/>
                <w:color w:val="135194"/>
                <w:spacing w:val="0"/>
                <w:sz w:val="28"/>
                <w:szCs w:val="28"/>
                <w:bdr w:val="none" w:color="auto" w:sz="0" w:space="0"/>
              </w:rPr>
              <w:t>：</w:t>
            </w:r>
            <w:r>
              <w:rPr>
                <w:rFonts w:hint="eastAsia" w:ascii="宋体" w:hAnsi="宋体" w:eastAsia="宋体" w:cs="宋体"/>
                <w:i w:val="0"/>
                <w:caps w:val="0"/>
                <w:color w:val="333333"/>
                <w:spacing w:val="-11"/>
                <w:sz w:val="28"/>
                <w:szCs w:val="28"/>
                <w:bdr w:val="none" w:color="auto" w:sz="0" w:space="0"/>
              </w:rPr>
              <w:t>文化和旅游部关于印发《文化市场综合执法</w:t>
            </w:r>
            <w:r>
              <w:rPr>
                <w:rFonts w:hint="eastAsia" w:ascii="宋体" w:hAnsi="宋体" w:eastAsia="宋体" w:cs="宋体"/>
                <w:i w:val="0"/>
                <w:caps w:val="0"/>
                <w:color w:val="333333"/>
                <w:spacing w:val="-11"/>
                <w:kern w:val="0"/>
                <w:sz w:val="28"/>
                <w:szCs w:val="28"/>
                <w:bdr w:val="none" w:color="auto" w:sz="0" w:space="0"/>
                <w:lang w:val="en-US" w:eastAsia="zh-CN" w:bidi="ar"/>
              </w:rPr>
              <w:t>行政处罚裁量权适用办法》的通知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60"/>
              </w:tabs>
              <w:kinsoku/>
              <w:wordWrap/>
              <w:overflowPunct/>
              <w:topLinePunct w:val="0"/>
              <w:autoSpaceDE/>
              <w:autoSpaceDN/>
              <w:bidi w:val="0"/>
              <w:adjustRightInd/>
              <w:snapToGrid/>
              <w:spacing w:before="0" w:beforeAutospacing="0" w:after="0" w:afterAutospacing="0" w:line="288" w:lineRule="atLeast"/>
              <w:ind w:left="0" w:right="0"/>
              <w:jc w:val="both"/>
              <w:textAlignment w:val="auto"/>
              <w:rPr>
                <w:rFonts w:hint="eastAsia" w:ascii="宋体" w:hAnsi="宋体" w:eastAsia="宋体" w:cs="宋体"/>
                <w:sz w:val="28"/>
                <w:szCs w:val="28"/>
              </w:rPr>
            </w:pPr>
            <w:r>
              <w:rPr>
                <w:rFonts w:hint="eastAsia" w:ascii="宋体" w:hAnsi="宋体" w:eastAsia="宋体" w:cs="宋体"/>
                <w:i w:val="0"/>
                <w:caps w:val="0"/>
                <w:color w:val="135194"/>
                <w:spacing w:val="90"/>
                <w:kern w:val="0"/>
                <w:sz w:val="28"/>
                <w:szCs w:val="28"/>
                <w:bdr w:val="none" w:color="auto" w:sz="0" w:space="0"/>
                <w:fitText w:val="1200" w:id="1145066919"/>
              </w:rPr>
              <w:t>索引</w:t>
            </w:r>
            <w:r>
              <w:rPr>
                <w:rFonts w:hint="eastAsia" w:ascii="宋体" w:hAnsi="宋体" w:eastAsia="宋体" w:cs="宋体"/>
                <w:i w:val="0"/>
                <w:caps w:val="0"/>
                <w:color w:val="135194"/>
                <w:spacing w:val="0"/>
                <w:kern w:val="0"/>
                <w:sz w:val="28"/>
                <w:szCs w:val="28"/>
                <w:bdr w:val="none" w:color="auto" w:sz="0" w:space="0"/>
                <w:fitText w:val="1200" w:id="1145066919"/>
              </w:rPr>
              <w:t>号</w:t>
            </w:r>
            <w:r>
              <w:rPr>
                <w:rFonts w:hint="eastAsia" w:ascii="宋体" w:hAnsi="宋体" w:eastAsia="宋体" w:cs="宋体"/>
                <w:i w:val="0"/>
                <w:caps w:val="0"/>
                <w:color w:val="135194"/>
                <w:spacing w:val="0"/>
                <w:sz w:val="28"/>
                <w:szCs w:val="28"/>
                <w:bdr w:val="none" w:color="auto" w:sz="0" w:space="0"/>
              </w:rPr>
              <w:t>：</w:t>
            </w:r>
            <w:r>
              <w:rPr>
                <w:rFonts w:hint="eastAsia" w:ascii="宋体" w:hAnsi="宋体" w:eastAsia="宋体" w:cs="宋体"/>
                <w:i w:val="0"/>
                <w:caps w:val="0"/>
                <w:color w:val="333333"/>
                <w:spacing w:val="0"/>
                <w:sz w:val="28"/>
                <w:szCs w:val="28"/>
                <w:bdr w:val="none" w:color="auto" w:sz="0" w:space="0"/>
              </w:rPr>
              <w:t>357A12-17-2021-0001</w:t>
            </w:r>
            <w:r>
              <w:rPr>
                <w:rFonts w:hint="eastAsia" w:ascii="宋体" w:hAnsi="宋体" w:eastAsia="宋体" w:cs="宋体"/>
                <w:i w:val="0"/>
                <w:caps w:val="0"/>
                <w:color w:val="333333"/>
                <w:spacing w:val="0"/>
                <w:sz w:val="28"/>
                <w:szCs w:val="28"/>
                <w:bdr w:val="none" w:color="auto" w:sz="0" w:space="0"/>
                <w:lang w:val="en-US" w:eastAsia="zh-CN"/>
              </w:rPr>
              <w:t xml:space="preserve">           </w:t>
            </w:r>
            <w:r>
              <w:rPr>
                <w:rFonts w:hint="eastAsia" w:ascii="宋体" w:hAnsi="宋体" w:eastAsia="宋体" w:cs="宋体"/>
                <w:i w:val="0"/>
                <w:caps w:val="0"/>
                <w:color w:val="135194"/>
                <w:spacing w:val="320"/>
                <w:kern w:val="0"/>
                <w:sz w:val="28"/>
                <w:szCs w:val="28"/>
                <w:bdr w:val="none" w:color="auto" w:sz="0" w:space="0"/>
                <w:fitText w:val="1200" w:id="54337607"/>
              </w:rPr>
              <w:t>文</w:t>
            </w:r>
            <w:r>
              <w:rPr>
                <w:rFonts w:hint="eastAsia" w:ascii="宋体" w:hAnsi="宋体" w:eastAsia="宋体" w:cs="宋体"/>
                <w:i w:val="0"/>
                <w:caps w:val="0"/>
                <w:color w:val="135194"/>
                <w:spacing w:val="0"/>
                <w:kern w:val="0"/>
                <w:sz w:val="28"/>
                <w:szCs w:val="28"/>
                <w:bdr w:val="none" w:color="auto" w:sz="0" w:space="0"/>
                <w:fitText w:val="1200" w:id="54337607"/>
              </w:rPr>
              <w:t>号</w:t>
            </w:r>
            <w:r>
              <w:rPr>
                <w:rFonts w:hint="eastAsia" w:ascii="宋体" w:hAnsi="宋体" w:eastAsia="宋体" w:cs="宋体"/>
                <w:i w:val="0"/>
                <w:caps w:val="0"/>
                <w:color w:val="135194"/>
                <w:spacing w:val="0"/>
                <w:sz w:val="28"/>
                <w:szCs w:val="28"/>
                <w:bdr w:val="none" w:color="auto" w:sz="0" w:space="0"/>
              </w:rPr>
              <w:t>：</w:t>
            </w:r>
            <w:r>
              <w:rPr>
                <w:rFonts w:hint="eastAsia" w:ascii="宋体" w:hAnsi="宋体" w:eastAsia="宋体" w:cs="宋体"/>
                <w:i w:val="0"/>
                <w:caps w:val="0"/>
                <w:color w:val="333333"/>
                <w:spacing w:val="0"/>
                <w:sz w:val="28"/>
                <w:szCs w:val="28"/>
                <w:bdr w:val="none" w:color="auto" w:sz="0" w:space="0"/>
              </w:rPr>
              <w:t>文旅综执发〔2021〕11号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60"/>
              </w:tabs>
              <w:kinsoku/>
              <w:wordWrap/>
              <w:overflowPunct/>
              <w:topLinePunct w:val="0"/>
              <w:autoSpaceDE/>
              <w:autoSpaceDN/>
              <w:bidi w:val="0"/>
              <w:adjustRightInd/>
              <w:snapToGrid/>
              <w:spacing w:before="0" w:beforeAutospacing="0" w:after="0" w:afterAutospacing="0" w:line="288" w:lineRule="atLeast"/>
              <w:ind w:left="0" w:right="0"/>
              <w:jc w:val="both"/>
              <w:textAlignment w:val="auto"/>
              <w:rPr>
                <w:rFonts w:hint="eastAsia" w:ascii="宋体" w:hAnsi="宋体" w:eastAsia="宋体" w:cs="宋体"/>
                <w:sz w:val="28"/>
                <w:szCs w:val="28"/>
              </w:rPr>
            </w:pPr>
            <w:r>
              <w:rPr>
                <w:rFonts w:hint="eastAsia" w:ascii="宋体" w:hAnsi="宋体" w:eastAsia="宋体" w:cs="宋体"/>
                <w:i w:val="0"/>
                <w:caps w:val="0"/>
                <w:color w:val="135194"/>
                <w:spacing w:val="13"/>
                <w:kern w:val="0"/>
                <w:sz w:val="28"/>
                <w:szCs w:val="28"/>
                <w:bdr w:val="none" w:color="auto" w:sz="0" w:space="0"/>
                <w:fitText w:val="1200" w:id="1209627729"/>
              </w:rPr>
              <w:t>发布机</w:t>
            </w:r>
            <w:r>
              <w:rPr>
                <w:rFonts w:hint="eastAsia" w:ascii="宋体" w:hAnsi="宋体" w:eastAsia="宋体" w:cs="宋体"/>
                <w:i w:val="0"/>
                <w:caps w:val="0"/>
                <w:color w:val="135194"/>
                <w:spacing w:val="1"/>
                <w:kern w:val="0"/>
                <w:sz w:val="28"/>
                <w:szCs w:val="28"/>
                <w:bdr w:val="none" w:color="auto" w:sz="0" w:space="0"/>
                <w:fitText w:val="1200" w:id="1209627729"/>
              </w:rPr>
              <w:t>构</w:t>
            </w:r>
            <w:r>
              <w:rPr>
                <w:rFonts w:hint="eastAsia" w:ascii="宋体" w:hAnsi="宋体" w:eastAsia="宋体" w:cs="宋体"/>
                <w:i w:val="0"/>
                <w:caps w:val="0"/>
                <w:color w:val="135194"/>
                <w:spacing w:val="0"/>
                <w:sz w:val="28"/>
                <w:szCs w:val="28"/>
                <w:bdr w:val="none" w:color="auto" w:sz="0" w:space="0"/>
              </w:rPr>
              <w:t>：</w:t>
            </w:r>
            <w:r>
              <w:rPr>
                <w:rFonts w:hint="eastAsia" w:ascii="宋体" w:hAnsi="宋体" w:eastAsia="宋体" w:cs="宋体"/>
                <w:i w:val="0"/>
                <w:caps w:val="0"/>
                <w:color w:val="333333"/>
                <w:spacing w:val="0"/>
                <w:sz w:val="28"/>
                <w:szCs w:val="28"/>
                <w:bdr w:val="none" w:color="auto" w:sz="0" w:space="0"/>
              </w:rPr>
              <w:t>文化市场综合执法监督局</w:t>
            </w:r>
            <w:r>
              <w:rPr>
                <w:rFonts w:hint="eastAsia" w:ascii="宋体" w:hAnsi="宋体" w:eastAsia="宋体" w:cs="宋体"/>
                <w:i w:val="0"/>
                <w:caps w:val="0"/>
                <w:color w:val="333333"/>
                <w:spacing w:val="0"/>
                <w:sz w:val="28"/>
                <w:szCs w:val="28"/>
                <w:bdr w:val="none" w:color="auto" w:sz="0" w:space="0"/>
                <w:lang w:val="en-US" w:eastAsia="zh-CN"/>
              </w:rPr>
              <w:t xml:space="preserve">        </w:t>
            </w:r>
            <w:r>
              <w:rPr>
                <w:rFonts w:hint="eastAsia" w:ascii="宋体" w:hAnsi="宋体" w:eastAsia="宋体" w:cs="宋体"/>
                <w:i w:val="0"/>
                <w:caps w:val="0"/>
                <w:color w:val="135194"/>
                <w:spacing w:val="13"/>
                <w:kern w:val="0"/>
                <w:sz w:val="28"/>
                <w:szCs w:val="28"/>
                <w:bdr w:val="none" w:color="auto" w:sz="0" w:space="0"/>
                <w:fitText w:val="1200" w:id="1739720029"/>
              </w:rPr>
              <w:t>发布日</w:t>
            </w:r>
            <w:r>
              <w:rPr>
                <w:rFonts w:hint="eastAsia" w:ascii="宋体" w:hAnsi="宋体" w:eastAsia="宋体" w:cs="宋体"/>
                <w:i w:val="0"/>
                <w:caps w:val="0"/>
                <w:color w:val="135194"/>
                <w:spacing w:val="1"/>
                <w:kern w:val="0"/>
                <w:sz w:val="28"/>
                <w:szCs w:val="28"/>
                <w:bdr w:val="none" w:color="auto" w:sz="0" w:space="0"/>
                <w:fitText w:val="1200" w:id="1739720029"/>
              </w:rPr>
              <w:t>期</w:t>
            </w:r>
            <w:r>
              <w:rPr>
                <w:rFonts w:hint="eastAsia" w:ascii="宋体" w:hAnsi="宋体" w:eastAsia="宋体" w:cs="宋体"/>
                <w:i w:val="0"/>
                <w:caps w:val="0"/>
                <w:color w:val="135194"/>
                <w:spacing w:val="0"/>
                <w:sz w:val="28"/>
                <w:szCs w:val="28"/>
                <w:bdr w:val="none" w:color="auto" w:sz="0" w:space="0"/>
              </w:rPr>
              <w:t>：</w:t>
            </w:r>
            <w:r>
              <w:rPr>
                <w:rFonts w:hint="eastAsia" w:ascii="宋体" w:hAnsi="宋体" w:eastAsia="宋体" w:cs="宋体"/>
                <w:i w:val="0"/>
                <w:caps w:val="0"/>
                <w:color w:val="333333"/>
                <w:spacing w:val="0"/>
                <w:sz w:val="28"/>
                <w:szCs w:val="28"/>
                <w:bdr w:val="none" w:color="auto" w:sz="0" w:space="0"/>
              </w:rPr>
              <w:t>2021-02-09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460"/>
              </w:tabs>
              <w:kinsoku/>
              <w:wordWrap/>
              <w:overflowPunct/>
              <w:topLinePunct w:val="0"/>
              <w:autoSpaceDE/>
              <w:autoSpaceDN/>
              <w:bidi w:val="0"/>
              <w:adjustRightInd/>
              <w:snapToGrid/>
              <w:spacing w:before="0" w:beforeAutospacing="0" w:after="0" w:afterAutospacing="0" w:line="288" w:lineRule="atLeast"/>
              <w:ind w:left="0" w:right="0"/>
              <w:jc w:val="both"/>
              <w:textAlignment w:val="auto"/>
              <w:rPr>
                <w:rFonts w:hint="eastAsia"/>
                <w:sz w:val="28"/>
                <w:szCs w:val="28"/>
                <w:vertAlign w:val="baseline"/>
                <w:lang w:eastAsia="zh-CN"/>
              </w:rPr>
            </w:pPr>
            <w:r>
              <w:rPr>
                <w:rFonts w:hint="eastAsia" w:ascii="宋体" w:hAnsi="宋体" w:eastAsia="宋体" w:cs="宋体"/>
                <w:i w:val="0"/>
                <w:caps w:val="0"/>
                <w:color w:val="135194"/>
                <w:spacing w:val="320"/>
                <w:kern w:val="0"/>
                <w:sz w:val="28"/>
                <w:szCs w:val="28"/>
                <w:bdr w:val="none" w:color="auto" w:sz="0" w:space="0"/>
                <w:fitText w:val="1200" w:id="1712026094"/>
              </w:rPr>
              <w:t>分</w:t>
            </w:r>
            <w:r>
              <w:rPr>
                <w:rFonts w:hint="eastAsia" w:ascii="宋体" w:hAnsi="宋体" w:eastAsia="宋体" w:cs="宋体"/>
                <w:i w:val="0"/>
                <w:caps w:val="0"/>
                <w:color w:val="135194"/>
                <w:spacing w:val="0"/>
                <w:kern w:val="0"/>
                <w:sz w:val="28"/>
                <w:szCs w:val="28"/>
                <w:bdr w:val="none" w:color="auto" w:sz="0" w:space="0"/>
                <w:fitText w:val="1200" w:id="1712026094"/>
              </w:rPr>
              <w:t>类</w:t>
            </w:r>
            <w:r>
              <w:rPr>
                <w:rFonts w:hint="eastAsia" w:ascii="宋体" w:hAnsi="宋体" w:eastAsia="宋体" w:cs="宋体"/>
                <w:i w:val="0"/>
                <w:caps w:val="0"/>
                <w:color w:val="135194"/>
                <w:spacing w:val="0"/>
                <w:sz w:val="28"/>
                <w:szCs w:val="28"/>
                <w:bdr w:val="none" w:color="auto" w:sz="0" w:space="0"/>
              </w:rPr>
              <w:t>：</w:t>
            </w:r>
            <w:r>
              <w:rPr>
                <w:rFonts w:hint="eastAsia" w:ascii="宋体" w:hAnsi="宋体" w:eastAsia="宋体" w:cs="宋体"/>
                <w:i w:val="0"/>
                <w:caps w:val="0"/>
                <w:color w:val="333333"/>
                <w:spacing w:val="0"/>
                <w:sz w:val="28"/>
                <w:szCs w:val="28"/>
                <w:bdr w:val="none" w:color="auto" w:sz="0" w:space="0"/>
              </w:rPr>
              <w:t>文化市场综合执法</w:t>
            </w:r>
            <w:r>
              <w:rPr>
                <w:rFonts w:hint="eastAsia" w:ascii="宋体" w:hAnsi="宋体" w:eastAsia="宋体" w:cs="宋体"/>
                <w:i w:val="0"/>
                <w:caps w:val="0"/>
                <w:color w:val="333333"/>
                <w:spacing w:val="0"/>
                <w:sz w:val="28"/>
                <w:szCs w:val="28"/>
                <w:bdr w:val="none" w:color="auto" w:sz="0" w:space="0"/>
                <w:lang w:eastAsia="zh-CN"/>
              </w:rPr>
              <w:t>；</w:t>
            </w:r>
            <w:r>
              <w:rPr>
                <w:rFonts w:hint="eastAsia" w:ascii="宋体" w:hAnsi="宋体" w:eastAsia="宋体" w:cs="宋体"/>
                <w:i w:val="0"/>
                <w:caps w:val="0"/>
                <w:color w:val="333333"/>
                <w:spacing w:val="0"/>
                <w:sz w:val="28"/>
                <w:szCs w:val="28"/>
                <w:bdr w:val="none" w:color="auto" w:sz="0" w:space="0"/>
              </w:rPr>
              <w:t>通知</w:t>
            </w:r>
            <w:r>
              <w:rPr>
                <w:rFonts w:hint="eastAsia" w:ascii="宋体" w:hAnsi="宋体" w:eastAsia="宋体" w:cs="宋体"/>
                <w:i w:val="0"/>
                <w:caps w:val="0"/>
                <w:color w:val="333333"/>
                <w:spacing w:val="0"/>
                <w:sz w:val="28"/>
                <w:szCs w:val="28"/>
                <w:bdr w:val="none" w:color="auto" w:sz="0" w:space="0"/>
                <w:lang w:val="en-US" w:eastAsia="zh-CN"/>
              </w:rPr>
              <w:t xml:space="preserve">        </w:t>
            </w:r>
            <w:r>
              <w:rPr>
                <w:rFonts w:hint="eastAsia" w:ascii="宋体" w:hAnsi="宋体" w:eastAsia="宋体" w:cs="宋体"/>
                <w:i w:val="0"/>
                <w:caps w:val="0"/>
                <w:color w:val="135194"/>
                <w:spacing w:val="90"/>
                <w:kern w:val="0"/>
                <w:sz w:val="28"/>
                <w:szCs w:val="28"/>
                <w:bdr w:val="none" w:color="auto" w:sz="0" w:space="0"/>
                <w:fitText w:val="1200" w:id="407644827"/>
              </w:rPr>
              <w:t>主题</w:t>
            </w:r>
            <w:r>
              <w:rPr>
                <w:rFonts w:hint="eastAsia" w:ascii="宋体" w:hAnsi="宋体" w:eastAsia="宋体" w:cs="宋体"/>
                <w:i w:val="0"/>
                <w:caps w:val="0"/>
                <w:color w:val="135194"/>
                <w:spacing w:val="0"/>
                <w:kern w:val="0"/>
                <w:sz w:val="28"/>
                <w:szCs w:val="28"/>
                <w:bdr w:val="none" w:color="auto" w:sz="0" w:space="0"/>
                <w:fitText w:val="1200" w:id="407644827"/>
              </w:rPr>
              <w:t>词</w:t>
            </w:r>
            <w:r>
              <w:rPr>
                <w:rFonts w:hint="eastAsia" w:ascii="宋体" w:hAnsi="宋体" w:eastAsia="宋体" w:cs="宋体"/>
                <w:i w:val="0"/>
                <w:caps w:val="0"/>
                <w:color w:val="135194"/>
                <w:spacing w:val="0"/>
                <w:sz w:val="28"/>
                <w:szCs w:val="28"/>
                <w:bdr w:val="none" w:color="auto" w:sz="0" w:space="0"/>
              </w:rPr>
              <w:t>：</w:t>
            </w:r>
            <w:r>
              <w:rPr>
                <w:rFonts w:hint="eastAsia" w:ascii="宋体" w:hAnsi="宋体" w:eastAsia="宋体" w:cs="宋体"/>
                <w:i w:val="0"/>
                <w:caps w:val="0"/>
                <w:color w:val="333333"/>
                <w:spacing w:val="0"/>
                <w:sz w:val="28"/>
                <w:szCs w:val="28"/>
                <w:bdr w:val="none" w:color="auto" w:sz="0" w:space="0"/>
              </w:rPr>
              <w:t>综合执法行政处罚裁量权</w:t>
            </w:r>
          </w:p>
        </w:tc>
      </w:tr>
    </w:tbl>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28" w:lineRule="atLeast"/>
        <w:ind w:left="0" w:right="0" w:firstLine="393" w:firstLineChars="100"/>
        <w:jc w:val="both"/>
        <w:rPr>
          <w:rFonts w:hint="eastAsia" w:ascii="宋体" w:hAnsi="宋体" w:eastAsia="宋体" w:cs="宋体"/>
          <w:b w:val="0"/>
          <w:i w:val="0"/>
          <w:caps w:val="0"/>
          <w:color w:val="0070C0"/>
          <w:spacing w:val="0"/>
          <w:sz w:val="39"/>
          <w:szCs w:val="39"/>
        </w:rPr>
      </w:pPr>
      <w:r>
        <w:rPr>
          <w:rFonts w:hint="eastAsia" w:ascii="宋体" w:hAnsi="宋体" w:eastAsia="宋体" w:cs="宋体"/>
          <w:b w:val="0"/>
          <w:i w:val="0"/>
          <w:caps w:val="0"/>
          <w:color w:val="0070C0"/>
          <w:spacing w:val="0"/>
          <w:sz w:val="39"/>
          <w:szCs w:val="39"/>
          <w:bdr w:val="none" w:color="auto" w:sz="0" w:space="0"/>
          <w:shd w:val="clear" w:fill="FFFFFF"/>
        </w:rPr>
        <w:t>文化和旅游部关于印发《文化市场综合执法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8" w:lineRule="atLeast"/>
        <w:ind w:left="0" w:right="0" w:firstLine="0"/>
        <w:jc w:val="center"/>
        <w:rPr>
          <w:rFonts w:hint="eastAsia" w:ascii="宋体" w:hAnsi="宋体" w:eastAsia="宋体" w:cs="宋体"/>
          <w:b w:val="0"/>
          <w:i w:val="0"/>
          <w:caps w:val="0"/>
          <w:color w:val="0070C0"/>
          <w:spacing w:val="0"/>
          <w:sz w:val="39"/>
          <w:szCs w:val="39"/>
        </w:rPr>
      </w:pPr>
      <w:r>
        <w:rPr>
          <w:rFonts w:hint="eastAsia" w:ascii="宋体" w:hAnsi="宋体" w:eastAsia="宋体" w:cs="宋体"/>
          <w:b w:val="0"/>
          <w:i w:val="0"/>
          <w:caps w:val="0"/>
          <w:color w:val="0070C0"/>
          <w:spacing w:val="0"/>
          <w:kern w:val="0"/>
          <w:sz w:val="39"/>
          <w:szCs w:val="39"/>
          <w:bdr w:val="none" w:color="auto" w:sz="0" w:space="0"/>
          <w:shd w:val="clear" w:fill="FFFFFF"/>
          <w:lang w:val="en-US" w:eastAsia="zh-CN" w:bidi="ar"/>
        </w:rPr>
        <w:t>行政处罚裁量权适用办法》的通知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各省、自治区、直辖市文化和旅游厅（局），新疆生产建设兵团文化体育广电和旅游局：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为贯彻落实中共中央办公厅、国务院办公厅《关于深化文化市场综合行政执法改革的指导意见》，健全文化市场综合执法制度机制，强化行政执法监督，根据《中华人民共和国行政处罚法》等法律法规，文化和旅游部对《文化市场行政处罚自由裁量权适用办法（试行）》进行了修订。现将修订后的《文化市场综合执法行政处罚裁量权适用办法》印发你单位，请遵照执行。 </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特此通知。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righ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文化和旅游部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i w:val="0"/>
          <w:caps w:val="0"/>
          <w:color w:val="333333"/>
          <w:spacing w:val="0"/>
          <w:sz w:val="28"/>
          <w:szCs w:val="28"/>
          <w:bdr w:val="none" w:color="auto" w:sz="0" w:space="0"/>
          <w:shd w:val="clear" w:fill="FFFFFF"/>
          <w:lang w:val="en-US" w:eastAsia="zh-CN"/>
        </w:rPr>
        <w:t xml:space="preserve"> </w:t>
      </w:r>
      <w:r>
        <w:rPr>
          <w:rFonts w:hint="eastAsia" w:ascii="宋体" w:hAnsi="宋体" w:eastAsia="宋体" w:cs="宋体"/>
          <w:i w:val="0"/>
          <w:caps w:val="0"/>
          <w:color w:val="333333"/>
          <w:spacing w:val="0"/>
          <w:sz w:val="28"/>
          <w:szCs w:val="28"/>
          <w:bdr w:val="none" w:color="auto" w:sz="0" w:space="0"/>
          <w:shd w:val="clear" w:fill="FFFFFF"/>
        </w:rPr>
        <w:t> 2021年2月9日   </w:t>
      </w:r>
    </w:p>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文化市场综合执法行政处罚裁量权适用办法</w:t>
      </w:r>
      <w:r>
        <w:rPr>
          <w:rFonts w:hint="eastAsia" w:ascii="宋体" w:hAnsi="宋体" w:eastAsia="宋体" w:cs="宋体"/>
          <w:i w:val="0"/>
          <w:caps w:val="0"/>
          <w:color w:val="333333"/>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第一条</w:t>
      </w:r>
      <w:r>
        <w:rPr>
          <w:rFonts w:hint="eastAsia" w:ascii="宋体" w:hAnsi="宋体" w:eastAsia="宋体" w:cs="宋体"/>
          <w:i w:val="0"/>
          <w:caps w:val="0"/>
          <w:color w:val="333333"/>
          <w:spacing w:val="0"/>
          <w:sz w:val="28"/>
          <w:szCs w:val="28"/>
          <w:bdr w:val="none" w:color="auto" w:sz="0" w:space="0"/>
          <w:shd w:val="clear" w:fill="FFFFFF"/>
        </w:rPr>
        <w:t>　为进一步规范文化市场综合执法行政处罚裁量权的适用和监督，保障文化和旅游行政部门和文化市场综合执法机构（以下合并简称“执法部门”）合法、合理地行使行政处罚裁量权，保护公民、法人和其他组织的合法权益，根据《中华人民共和国行政处罚法》以及国务院有关规定，制定本办法。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第二条</w:t>
      </w:r>
      <w:r>
        <w:rPr>
          <w:rFonts w:hint="eastAsia" w:ascii="宋体" w:hAnsi="宋体" w:eastAsia="宋体" w:cs="宋体"/>
          <w:i w:val="0"/>
          <w:caps w:val="0"/>
          <w:color w:val="333333"/>
          <w:spacing w:val="0"/>
          <w:sz w:val="28"/>
          <w:szCs w:val="28"/>
          <w:bdr w:val="none" w:color="auto" w:sz="0" w:space="0"/>
          <w:shd w:val="clear" w:fill="FFFFFF"/>
        </w:rPr>
        <w:t>　本办法所称文化市场综合执法行政处罚裁量权（以下简称“行政处罚裁量权”），是指执法部门对文化市场综合执法领域发生的违法行为实施行政处罚时，在法律、法规、规章规定的处罚种类和幅度内，综合考量违法行为的事实、性质、情节和社会危害程度等因素，决定是否给予处罚、给予何种种类和幅度的处罚的权限。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第三条</w:t>
      </w:r>
      <w:r>
        <w:rPr>
          <w:rFonts w:hint="eastAsia" w:ascii="宋体" w:hAnsi="宋体" w:eastAsia="宋体" w:cs="宋体"/>
          <w:i w:val="0"/>
          <w:caps w:val="0"/>
          <w:color w:val="333333"/>
          <w:spacing w:val="0"/>
          <w:sz w:val="28"/>
          <w:szCs w:val="28"/>
          <w:bdr w:val="none" w:color="auto" w:sz="0" w:space="0"/>
          <w:shd w:val="clear" w:fill="FFFFFF"/>
        </w:rPr>
        <w:t>　执法部门行使行政处罚裁量权，适用本办法。法律、法规、规章另有规定的，从其规定。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第四条</w:t>
      </w:r>
      <w:r>
        <w:rPr>
          <w:rFonts w:hint="eastAsia" w:ascii="宋体" w:hAnsi="宋体" w:eastAsia="宋体" w:cs="宋体"/>
          <w:i w:val="0"/>
          <w:caps w:val="0"/>
          <w:color w:val="333333"/>
          <w:spacing w:val="0"/>
          <w:sz w:val="28"/>
          <w:szCs w:val="28"/>
          <w:bdr w:val="none" w:color="auto" w:sz="0" w:space="0"/>
          <w:shd w:val="clear" w:fill="FFFFFF"/>
        </w:rPr>
        <w:t>　行使行政处罚裁量权，应当以事实为依据，与违法行为的事实、性质、情节以及社会危害程度相当，与违法行为发生地的经济社会发展水平相适应。同一行政区域对违法行为相同、相近或者相似的案件，适用的法律依据、处罚种类、处罚幅度应当基本一致。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第五条</w:t>
      </w:r>
      <w:r>
        <w:rPr>
          <w:rFonts w:hint="eastAsia" w:ascii="宋体" w:hAnsi="宋体" w:eastAsia="宋体" w:cs="宋体"/>
          <w:i w:val="0"/>
          <w:caps w:val="0"/>
          <w:color w:val="333333"/>
          <w:spacing w:val="0"/>
          <w:sz w:val="28"/>
          <w:szCs w:val="28"/>
          <w:bdr w:val="none" w:color="auto" w:sz="0" w:space="0"/>
          <w:shd w:val="clear" w:fill="FFFFFF"/>
        </w:rPr>
        <w:t>　行使行政处罚裁量权，应当坚持处罚与教育相结合的原则，纠正违法行为，教育公民、法人或者其他组织自觉守法。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第六条</w:t>
      </w:r>
      <w:r>
        <w:rPr>
          <w:rFonts w:hint="eastAsia" w:ascii="宋体" w:hAnsi="宋体" w:eastAsia="宋体" w:cs="宋体"/>
          <w:i w:val="0"/>
          <w:caps w:val="0"/>
          <w:color w:val="333333"/>
          <w:spacing w:val="0"/>
          <w:sz w:val="28"/>
          <w:szCs w:val="28"/>
          <w:bdr w:val="none" w:color="auto" w:sz="0" w:space="0"/>
          <w:shd w:val="clear" w:fill="FFFFFF"/>
        </w:rPr>
        <w:t>　同一违法行为违反不同法律、法规、规章的，在适用法律、法规、规章时应当遵循上位法优先、特别法优先的原则。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第七条</w:t>
      </w:r>
      <w:r>
        <w:rPr>
          <w:rFonts w:hint="eastAsia" w:ascii="宋体" w:hAnsi="宋体" w:eastAsia="宋体" w:cs="宋体"/>
          <w:i w:val="0"/>
          <w:caps w:val="0"/>
          <w:color w:val="333333"/>
          <w:spacing w:val="0"/>
          <w:sz w:val="28"/>
          <w:szCs w:val="28"/>
          <w:bdr w:val="none" w:color="auto" w:sz="0" w:space="0"/>
          <w:shd w:val="clear" w:fill="FFFFFF"/>
        </w:rPr>
        <w:t>　文化和旅游部可以根据需要，针对特定的行政处罚事项制定裁量基准，规范统一裁量尺度。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第八条</w:t>
      </w:r>
      <w:r>
        <w:rPr>
          <w:rFonts w:hint="eastAsia" w:ascii="宋体" w:hAnsi="宋体" w:eastAsia="宋体" w:cs="宋体"/>
          <w:i w:val="0"/>
          <w:caps w:val="0"/>
          <w:color w:val="333333"/>
          <w:spacing w:val="0"/>
          <w:sz w:val="28"/>
          <w:szCs w:val="28"/>
          <w:bdr w:val="none" w:color="auto" w:sz="0" w:space="0"/>
          <w:shd w:val="clear" w:fill="FFFFFF"/>
        </w:rPr>
        <w:t>　法律、法规、规章对行政处罚事项规定有裁量空间的，省级执法部门应当根据本办法的规定，综合考虑裁量因素，制定本地区行政处罚裁量基准，供本地区执法部门实施行政处罚时参照执行。省级行政处罚裁量基准应当根据行政处罚裁量权依据的变动和执法工作实际，及时修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鼓励市县两级执法部门对省级行政处罚裁量基准进一步细化、量化。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各级执法部门应当在裁量基准正式印发后十五日内报上级执法部门和同级司法部门备案。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第九条</w:t>
      </w:r>
      <w:r>
        <w:rPr>
          <w:rFonts w:hint="eastAsia" w:ascii="宋体" w:hAnsi="宋体" w:eastAsia="宋体" w:cs="宋体"/>
          <w:i w:val="0"/>
          <w:caps w:val="0"/>
          <w:color w:val="333333"/>
          <w:spacing w:val="0"/>
          <w:sz w:val="28"/>
          <w:szCs w:val="28"/>
          <w:bdr w:val="none" w:color="auto" w:sz="0" w:space="0"/>
          <w:shd w:val="clear" w:fill="FFFFFF"/>
        </w:rPr>
        <w:t>　制定行政处罚裁量基准，应当参考既往行政处罚案例，对具备裁量基准条件的行政处罚事项的下列内容进行细化和量化：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（一）法律、法规、规章规定可以选择是否给予行政处罚的，应当明确是否处罚的具体适用情形；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（二）法律、法规、规章规定可以选择行政处罚种类的，应当明确适用不同处罚种类的具体适用情形；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（三）法律、法规、规章规定可以选择处罚幅度的，应当明确划分易于操作的裁量阶次，并对每一阶次行政处罚的具体适用情形及幅度等作出规定；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（四）法律、法规、规章规定可以单处或者并处行政处罚的，应当明确规定单处或者并处行政处罚的具体适用情形。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第十条</w:t>
      </w:r>
      <w:r>
        <w:rPr>
          <w:rFonts w:hint="eastAsia" w:ascii="宋体" w:hAnsi="宋体" w:eastAsia="宋体" w:cs="宋体"/>
          <w:i w:val="0"/>
          <w:caps w:val="0"/>
          <w:color w:val="333333"/>
          <w:spacing w:val="0"/>
          <w:sz w:val="28"/>
          <w:szCs w:val="28"/>
          <w:bdr w:val="none" w:color="auto" w:sz="0" w:space="0"/>
          <w:shd w:val="clear" w:fill="FFFFFF"/>
        </w:rPr>
        <w:t>　法律、法规、规章设定的处罚种类和罚款数额，在相应的幅度范围内分为从轻处罚、一般处罚、从重处罚。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除法律、法规、规章另有规定外，罚款处罚的数额按照以下标准确定：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（一）罚款为一定幅度的数额，应当在最高罚款数额与最低罚款数额之间合理划分三个区间，从轻处罚的数额应当介于最低区间范围，一般处罚应当介于中间区间范围，从重处罚应当介于最高区间范围；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（二）罚款为一定金额的倍数，应当在最高罚款倍数与最低罚款倍数之间合理划分三个区间，从轻处罚的倍数应当介于最低区间范围，一般处罚应当介于中间区间范围，从重处罚应当介于最高区间范围。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第十一条</w:t>
      </w:r>
      <w:r>
        <w:rPr>
          <w:rFonts w:hint="eastAsia" w:ascii="宋体" w:hAnsi="宋体" w:eastAsia="宋体" w:cs="宋体"/>
          <w:i w:val="0"/>
          <w:caps w:val="0"/>
          <w:color w:val="333333"/>
          <w:spacing w:val="0"/>
          <w:sz w:val="28"/>
          <w:szCs w:val="28"/>
          <w:bdr w:val="none" w:color="auto" w:sz="0" w:space="0"/>
          <w:shd w:val="clear" w:fill="FFFFFF"/>
        </w:rPr>
        <w:t>　同时具有两个以上从重情节且不具有从轻情节的，应当在违法行为对应的处罚幅度内按照最高档次实施行政处罚。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同时具有多种情节的，应当综合考虑违法行为的性质和主要情节，确定对应的处罚幅度实施行政处罚。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第十二条</w:t>
      </w:r>
      <w:r>
        <w:rPr>
          <w:rFonts w:hint="eastAsia" w:ascii="宋体" w:hAnsi="宋体" w:eastAsia="宋体" w:cs="宋体"/>
          <w:i w:val="0"/>
          <w:caps w:val="0"/>
          <w:color w:val="333333"/>
          <w:spacing w:val="0"/>
          <w:sz w:val="28"/>
          <w:szCs w:val="28"/>
          <w:bdr w:val="none" w:color="auto" w:sz="0" w:space="0"/>
          <w:shd w:val="clear" w:fill="FFFFFF"/>
        </w:rPr>
        <w:t>　有下列情形之一的，应当依法不予行政处罚：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（一）不满十四周岁的未成年人有违法行为的；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（二）精神病人、智力残疾人在不能辨认或者不能控制自己行为时有违法行为的；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（三）违法行为轻微并及时改正，没有造成危害后果的；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（四）当事人有证据足以证明没有主观过错的（法律、行政法规另有规定的，从其规定）；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（五）法律、法规、规章规定的其他情形。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初次违法且危害后果轻微并及时改正的，可以不予行政处罚。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对当事人的违法行为依法不予行政处罚的，执法部门应当对当事人进行教育；有第一款第（一）项规定情形的，应当责令其监护人加以管教；有第一款第（二）项规定情形的，应当责令其监护人严加看管和治疗。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违法行为在二年内未被发现的，不再给予行政处罚，法律另有规定的除外。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第十三条</w:t>
      </w:r>
      <w:r>
        <w:rPr>
          <w:rFonts w:hint="eastAsia" w:ascii="宋体" w:hAnsi="宋体" w:eastAsia="宋体" w:cs="宋体"/>
          <w:i w:val="0"/>
          <w:caps w:val="0"/>
          <w:color w:val="333333"/>
          <w:spacing w:val="0"/>
          <w:sz w:val="28"/>
          <w:szCs w:val="28"/>
          <w:bdr w:val="none" w:color="auto" w:sz="0" w:space="0"/>
          <w:shd w:val="clear" w:fill="FFFFFF"/>
        </w:rPr>
        <w:t>　有下列情形之一的，应当依法从轻或者减轻处罚：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（一）已满十四周岁不满十八周岁的未成年人有违法行为的；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（二）主动消除或者减轻违法行为危害后果的；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（三）受他人胁迫或者诱骗实施违法行为的；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（四）主动供述执法部门尚未掌握的违法行为的；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（五）配合执法部门查处违法行为有立功表现的；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（六）法律、法规、规章规定的其他情形。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尚未完全丧失辨认或者控制自己行为能力的精神病人、智力残疾人有违法行为的，可以从轻或者减轻行政处罚。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第十四条</w:t>
      </w:r>
      <w:r>
        <w:rPr>
          <w:rFonts w:hint="eastAsia" w:ascii="宋体" w:hAnsi="宋体" w:eastAsia="宋体" w:cs="宋体"/>
          <w:i w:val="0"/>
          <w:caps w:val="0"/>
          <w:color w:val="333333"/>
          <w:spacing w:val="0"/>
          <w:sz w:val="28"/>
          <w:szCs w:val="28"/>
          <w:bdr w:val="none" w:color="auto" w:sz="0" w:space="0"/>
          <w:shd w:val="clear" w:fill="FFFFFF"/>
        </w:rPr>
        <w:t>　有下列情形之一的，应当依法从重处罚：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（一）危害国家文化安全和意识形态安全，严重扰乱市场经营秩序的；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（二）在共同实施的违法行为中起主要作用或者教唆、胁迫、诱骗他人实施违法行为的；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（三）经执法部门通过新闻媒体、发布公告等方式禁止或者告诫后，继续实施违法行为的；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（四）经执法部门责令改正违法行为后，继续实施同一违法行为的；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（五）因同种违法行为一年内受到三次及以上行政处罚的；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（六）隐匿、破坏、销毁、篡改有关证据，或者拒不配合、阻碍、以暴力威胁执法人员依法执行职务的；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（七）对证人、举报人或者执法人员打击报复的；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（八）违法行为引起群众强烈反映、引发群体性事件或者造成其他不良社会影响的；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（九）违反未成年人保护相关规定且情节严重的；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（十）扰乱公共秩序、妨害公共安全和社会管理，情节严重、尚未构成犯罪的；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（十一）法律、法规、规章规定的其他情形。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第十五条</w:t>
      </w:r>
      <w:r>
        <w:rPr>
          <w:rFonts w:hint="eastAsia" w:ascii="宋体" w:hAnsi="宋体" w:eastAsia="宋体" w:cs="宋体"/>
          <w:i w:val="0"/>
          <w:caps w:val="0"/>
          <w:color w:val="333333"/>
          <w:spacing w:val="0"/>
          <w:sz w:val="28"/>
          <w:szCs w:val="28"/>
          <w:bdr w:val="none" w:color="auto" w:sz="0" w:space="0"/>
          <w:shd w:val="clear" w:fill="FFFFFF"/>
        </w:rPr>
        <w:t>　违法行为不具有从轻或者减轻、从重情形的，应当给予一般处罚。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第十六条</w:t>
      </w:r>
      <w:r>
        <w:rPr>
          <w:rFonts w:hint="eastAsia" w:ascii="宋体" w:hAnsi="宋体" w:eastAsia="宋体" w:cs="宋体"/>
          <w:i w:val="0"/>
          <w:caps w:val="0"/>
          <w:color w:val="333333"/>
          <w:spacing w:val="0"/>
          <w:sz w:val="28"/>
          <w:szCs w:val="28"/>
          <w:bdr w:val="none" w:color="auto" w:sz="0" w:space="0"/>
          <w:shd w:val="clear" w:fill="FFFFFF"/>
        </w:rPr>
        <w:t>　案件调查终结后，承办案件的执法人员应当在充分考虑当事人的陈述和申辩后，对拟作出行政处罚的种类和幅度提出建议，并说明行使行政处罚裁量权的理由和依据；案件审核人员应当对行使行政处罚裁量权的情况提出审核意见，并逐级报批。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第十七条</w:t>
      </w:r>
      <w:r>
        <w:rPr>
          <w:rFonts w:hint="eastAsia" w:ascii="宋体" w:hAnsi="宋体" w:eastAsia="宋体" w:cs="宋体"/>
          <w:i w:val="0"/>
          <w:caps w:val="0"/>
          <w:color w:val="333333"/>
          <w:spacing w:val="0"/>
          <w:sz w:val="28"/>
          <w:szCs w:val="28"/>
          <w:bdr w:val="none" w:color="auto" w:sz="0" w:space="0"/>
          <w:shd w:val="clear" w:fill="FFFFFF"/>
        </w:rPr>
        <w:t>　从事法制审核工作的执法人员应当对行政处罚裁量权的行使进行合法性、合理性审核。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对情节复杂或者重大违法行为给予行政处罚的，还应当履行集体讨论程序，并在集体讨论笔录中说明理由和依据。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第十八条</w:t>
      </w:r>
      <w:r>
        <w:rPr>
          <w:rFonts w:hint="eastAsia" w:ascii="宋体" w:hAnsi="宋体" w:eastAsia="宋体" w:cs="宋体"/>
          <w:i w:val="0"/>
          <w:caps w:val="0"/>
          <w:color w:val="333333"/>
          <w:spacing w:val="0"/>
          <w:sz w:val="28"/>
          <w:szCs w:val="28"/>
          <w:bdr w:val="none" w:color="auto" w:sz="0" w:space="0"/>
          <w:shd w:val="clear" w:fill="FFFFFF"/>
        </w:rPr>
        <w:t>　行政处罚事先告知书和行政处罚决定书应当具体说明行使行政处罚裁量权的理由和依据。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第十九条</w:t>
      </w:r>
      <w:r>
        <w:rPr>
          <w:rFonts w:hint="eastAsia" w:ascii="宋体" w:hAnsi="宋体" w:eastAsia="宋体" w:cs="宋体"/>
          <w:i w:val="0"/>
          <w:caps w:val="0"/>
          <w:color w:val="333333"/>
          <w:spacing w:val="0"/>
          <w:sz w:val="28"/>
          <w:szCs w:val="28"/>
          <w:bdr w:val="none" w:color="auto" w:sz="0" w:space="0"/>
          <w:shd w:val="clear" w:fill="FFFFFF"/>
        </w:rPr>
        <w:t>　除法律、法规、规章另有规定外，执法部门应当自立案之日起九十日内作出行政处罚决定。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执法部门在作出行政处罚决定前，依法需要公告、鉴定、听证的，所需时间不计算在前款规定的期限内。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第二十条</w:t>
      </w:r>
      <w:r>
        <w:rPr>
          <w:rFonts w:hint="eastAsia" w:ascii="宋体" w:hAnsi="宋体" w:eastAsia="宋体" w:cs="宋体"/>
          <w:i w:val="0"/>
          <w:caps w:val="0"/>
          <w:color w:val="333333"/>
          <w:spacing w:val="0"/>
          <w:sz w:val="28"/>
          <w:szCs w:val="28"/>
          <w:bdr w:val="none" w:color="auto" w:sz="0" w:space="0"/>
          <w:shd w:val="clear" w:fill="FFFFFF"/>
        </w:rPr>
        <w:t>　各级执法部门应当建立文化市场综合执法行政处罚典型案例指导、案卷评查、评议考核等制度，规范本地区行政处罚裁量权的行使。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第二十一条</w:t>
      </w:r>
      <w:r>
        <w:rPr>
          <w:rFonts w:hint="eastAsia" w:ascii="宋体" w:hAnsi="宋体" w:eastAsia="宋体" w:cs="宋体"/>
          <w:i w:val="0"/>
          <w:caps w:val="0"/>
          <w:color w:val="333333"/>
          <w:spacing w:val="0"/>
          <w:sz w:val="28"/>
          <w:szCs w:val="28"/>
          <w:bdr w:val="none" w:color="auto" w:sz="0" w:space="0"/>
          <w:shd w:val="clear" w:fill="FFFFFF"/>
        </w:rPr>
        <w:t>　执法部门应当应用文化市场综合执法信息化管理平台对行政处罚裁量权的行使情况实施监督检查。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第二十二条</w:t>
      </w:r>
      <w:r>
        <w:rPr>
          <w:rFonts w:hint="eastAsia" w:ascii="宋体" w:hAnsi="宋体" w:eastAsia="宋体" w:cs="宋体"/>
          <w:i w:val="0"/>
          <w:caps w:val="0"/>
          <w:color w:val="333333"/>
          <w:spacing w:val="0"/>
          <w:sz w:val="28"/>
          <w:szCs w:val="28"/>
          <w:bdr w:val="none" w:color="auto" w:sz="0" w:space="0"/>
          <w:shd w:val="clear" w:fill="FFFFFF"/>
        </w:rPr>
        <w:t>　执法部门发现本部门行政处罚裁量权行使不当的，应当及时、主动改正。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上级执法部门应当对下级执法部门行使行政处罚裁量权的情况进行指导、监督，发现下级执法部门行政处罚裁量权行使不当的，应当责令其及时改正。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第二十三条</w:t>
      </w:r>
      <w:r>
        <w:rPr>
          <w:rFonts w:hint="eastAsia" w:ascii="宋体" w:hAnsi="宋体" w:eastAsia="宋体" w:cs="宋体"/>
          <w:i w:val="0"/>
          <w:caps w:val="0"/>
          <w:color w:val="333333"/>
          <w:spacing w:val="0"/>
          <w:sz w:val="28"/>
          <w:szCs w:val="28"/>
          <w:bdr w:val="none" w:color="auto" w:sz="0" w:space="0"/>
          <w:shd w:val="clear" w:fill="FFFFFF"/>
        </w:rPr>
        <w:t>　执法人员滥用行政处罚裁量权的，依法追究行政责任；涉嫌违纪、犯罪的，移交纪检监察机关、司法机关依法依规处理。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第二十四条</w:t>
      </w:r>
      <w:r>
        <w:rPr>
          <w:rFonts w:hint="eastAsia" w:ascii="宋体" w:hAnsi="宋体" w:eastAsia="宋体" w:cs="宋体"/>
          <w:i w:val="0"/>
          <w:caps w:val="0"/>
          <w:color w:val="333333"/>
          <w:spacing w:val="0"/>
          <w:sz w:val="28"/>
          <w:szCs w:val="28"/>
          <w:bdr w:val="none" w:color="auto" w:sz="0" w:space="0"/>
          <w:shd w:val="clear" w:fill="FFFFFF"/>
        </w:rPr>
        <w:t>　县级以上执法部门制定的行政处罚裁量权基准，应当及时向社会公开。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第二十五条</w:t>
      </w:r>
      <w:r>
        <w:rPr>
          <w:rFonts w:hint="eastAsia" w:ascii="宋体" w:hAnsi="宋体" w:eastAsia="宋体" w:cs="宋体"/>
          <w:i w:val="0"/>
          <w:caps w:val="0"/>
          <w:color w:val="333333"/>
          <w:spacing w:val="0"/>
          <w:sz w:val="28"/>
          <w:szCs w:val="28"/>
          <w:bdr w:val="none" w:color="auto" w:sz="0" w:space="0"/>
          <w:shd w:val="clear" w:fill="FFFFFF"/>
        </w:rPr>
        <w:t>　本办法由文化和旅游部负责解释。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shd w:val="clear" w:fill="FFFFFF"/>
        </w:rPr>
        <w:t>　　</w:t>
      </w:r>
      <w:r>
        <w:rPr>
          <w:rFonts w:hint="eastAsia" w:ascii="宋体" w:hAnsi="宋体" w:eastAsia="宋体" w:cs="宋体"/>
          <w:b/>
          <w:i w:val="0"/>
          <w:caps w:val="0"/>
          <w:color w:val="333333"/>
          <w:spacing w:val="0"/>
          <w:sz w:val="28"/>
          <w:szCs w:val="28"/>
          <w:bdr w:val="none" w:color="auto" w:sz="0" w:space="0"/>
          <w:shd w:val="clear" w:fill="FFFFFF"/>
        </w:rPr>
        <w:t>第二十六条</w:t>
      </w:r>
      <w:r>
        <w:rPr>
          <w:rFonts w:hint="eastAsia" w:ascii="宋体" w:hAnsi="宋体" w:eastAsia="宋体" w:cs="宋体"/>
          <w:i w:val="0"/>
          <w:caps w:val="0"/>
          <w:color w:val="333333"/>
          <w:spacing w:val="0"/>
          <w:sz w:val="28"/>
          <w:szCs w:val="28"/>
          <w:bdr w:val="none" w:color="auto" w:sz="0" w:space="0"/>
          <w:shd w:val="clear" w:fill="FFFFFF"/>
        </w:rPr>
        <w:t>　本办法自2021年7月15日起施行。原文化部2012年12月18日发布的《文化市场行政处罚自由裁量权适用办法（试行）》同时废止。</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31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B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2024-05-15T02:10:56Z</dcterms:created>
  <dc:creator>Administrator</dc:creator>
  <cp:lastModifiedBy>Administrator</cp:lastModifiedBy>
  <cp:lastPrinted>2024-05-15T02:50:23Z</cp:lastPrinted>
  <dcterms:modified xsi:type="dcterms:W3CDTF">2024-05-15T02:52:23Z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