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80" w:lineRule="exact"/>
        <w:jc w:val="left"/>
        <w:rPr>
          <w:rFonts w:hint="eastAsia" w:ascii="黑体" w:hAnsi="黑体" w:eastAsia="黑体" w:cs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</w:rPr>
        <w:t>附件</w:t>
      </w:r>
    </w:p>
    <w:p>
      <w:pPr>
        <w:spacing w:beforeLines="0" w:afterLines="0" w:line="580" w:lineRule="exact"/>
        <w:jc w:val="distribute"/>
        <w:rPr>
          <w:rFonts w:hint="eastAsia" w:ascii="CESI小标宋-GB2312" w:hAnsi="CESI小标宋-GB2312" w:eastAsia="CESI小标宋-GB2312"/>
          <w:color w:val="auto"/>
          <w:sz w:val="40"/>
          <w:szCs w:val="24"/>
        </w:rPr>
      </w:pPr>
    </w:p>
    <w:p>
      <w:pPr>
        <w:spacing w:beforeLines="0" w:afterLines="0" w:line="580" w:lineRule="exact"/>
        <w:jc w:val="center"/>
        <w:rPr>
          <w:rFonts w:hint="eastAsia" w:ascii="CESI小标宋-GB2312" w:hAnsi="CESI小标宋-GB2312" w:eastAsia="CESI小标宋-GB2312"/>
          <w:color w:val="auto"/>
          <w:sz w:val="40"/>
          <w:szCs w:val="24"/>
        </w:rPr>
      </w:pPr>
      <w:r>
        <w:rPr>
          <w:rFonts w:hint="eastAsia" w:ascii="CESI小标宋-GB2312" w:hAnsi="CESI小标宋-GB2312" w:eastAsia="CESI小标宋-GB2312"/>
          <w:color w:val="auto"/>
          <w:sz w:val="40"/>
          <w:szCs w:val="24"/>
          <w:lang w:val="en-US" w:eastAsia="zh-CN"/>
        </w:rPr>
        <w:t>人社局</w:t>
      </w:r>
      <w:r>
        <w:rPr>
          <w:rFonts w:hint="eastAsia" w:ascii="CESI小标宋-GB2312" w:hAnsi="CESI小标宋-GB2312" w:eastAsia="CESI小标宋-GB2312"/>
          <w:color w:val="auto"/>
          <w:sz w:val="40"/>
          <w:szCs w:val="24"/>
        </w:rPr>
        <w:t>2024年度行政执法统计年报</w:t>
      </w:r>
    </w:p>
    <w:p>
      <w:pPr>
        <w:spacing w:beforeLines="0" w:afterLines="0" w:line="580" w:lineRule="exact"/>
        <w:jc w:val="left"/>
        <w:rPr>
          <w:rFonts w:hint="eastAsia" w:ascii="国标楷体" w:hAnsi="国标楷体" w:eastAsia="国标楷体"/>
          <w:color w:val="auto"/>
          <w:sz w:val="21"/>
          <w:szCs w:val="21"/>
        </w:rPr>
      </w:pPr>
    </w:p>
    <w:p>
      <w:pPr>
        <w:spacing w:beforeLines="0" w:afterLines="0" w:line="580" w:lineRule="exact"/>
        <w:jc w:val="left"/>
        <w:rPr>
          <w:rFonts w:hint="default" w:ascii="国标楷体" w:hAnsi="国标楷体" w:eastAsia="国标楷体"/>
          <w:color w:val="auto"/>
          <w:sz w:val="32"/>
          <w:szCs w:val="24"/>
          <w:lang w:val="en-US" w:eastAsia="zh-CN"/>
        </w:rPr>
      </w:pPr>
      <w:r>
        <w:rPr>
          <w:rFonts w:hint="eastAsia" w:ascii="国标楷体" w:hAnsi="国标楷体" w:eastAsia="国标楷体"/>
          <w:color w:val="auto"/>
          <w:sz w:val="32"/>
          <w:szCs w:val="24"/>
        </w:rPr>
        <w:t>填报科室：</w:t>
      </w:r>
      <w:r>
        <w:rPr>
          <w:rFonts w:hint="eastAsia" w:ascii="国标楷体" w:hAnsi="国标楷体" w:eastAsia="国标楷体"/>
          <w:color w:val="auto"/>
          <w:sz w:val="32"/>
          <w:szCs w:val="24"/>
          <w:lang w:val="en-US" w:eastAsia="zh-CN"/>
        </w:rPr>
        <w:t>基金股</w:t>
      </w:r>
      <w:r>
        <w:rPr>
          <w:rFonts w:hint="eastAsia" w:ascii="国标楷体" w:hAnsi="国标楷体" w:eastAsia="国标楷体"/>
          <w:color w:val="auto"/>
          <w:sz w:val="32"/>
          <w:szCs w:val="24"/>
        </w:rPr>
        <w:t xml:space="preserve">  填报人：</w:t>
      </w:r>
      <w:r>
        <w:rPr>
          <w:rFonts w:hint="eastAsia" w:ascii="国标楷体" w:hAnsi="国标楷体" w:eastAsia="国标楷体"/>
          <w:color w:val="auto"/>
          <w:sz w:val="32"/>
          <w:szCs w:val="24"/>
          <w:lang w:val="en-US" w:eastAsia="zh-CN"/>
        </w:rPr>
        <w:t>陈灵</w:t>
      </w:r>
      <w:r>
        <w:rPr>
          <w:rFonts w:hint="eastAsia" w:ascii="国标楷体" w:hAnsi="国标楷体" w:eastAsia="国标楷体"/>
          <w:color w:val="auto"/>
          <w:sz w:val="32"/>
          <w:szCs w:val="24"/>
        </w:rPr>
        <w:t xml:space="preserve">    联系方式：</w:t>
      </w:r>
      <w:r>
        <w:rPr>
          <w:rFonts w:hint="eastAsia" w:ascii="国标楷体" w:hAnsi="国标楷体" w:eastAsia="国标楷体"/>
          <w:color w:val="auto"/>
          <w:sz w:val="32"/>
          <w:szCs w:val="24"/>
          <w:lang w:val="en-US" w:eastAsia="zh-CN"/>
        </w:rPr>
        <w:t>8729778</w:t>
      </w:r>
    </w:p>
    <w:p>
      <w:pPr>
        <w:spacing w:beforeLines="0" w:afterLines="0" w:line="580" w:lineRule="exact"/>
        <w:jc w:val="left"/>
        <w:rPr>
          <w:rFonts w:hint="default" w:ascii="国标楷体" w:hAnsi="国标楷体" w:eastAsia="国标楷体"/>
          <w:color w:val="auto"/>
          <w:sz w:val="21"/>
          <w:szCs w:val="21"/>
        </w:rPr>
      </w:pPr>
    </w:p>
    <w:p>
      <w:pPr>
        <w:numPr>
          <w:ilvl w:val="0"/>
          <w:numId w:val="1"/>
        </w:numPr>
        <w:spacing w:beforeLines="0" w:afterLines="0" w:line="580" w:lineRule="exact"/>
        <w:ind w:firstLine="624" w:firstLineChars="200"/>
        <w:rPr>
          <w:rFonts w:hint="eastAsia" w:ascii="黑体" w:hAnsi="黑体" w:eastAsia="黑体" w:cs="黑体"/>
          <w:color w:val="auto"/>
          <w:sz w:val="32"/>
          <w:szCs w:val="24"/>
        </w:rPr>
      </w:pPr>
      <w:r>
        <w:rPr>
          <w:rFonts w:hint="eastAsia" w:ascii="黑体" w:hAnsi="黑体" w:eastAsia="黑体" w:cs="黑体"/>
          <w:color w:val="auto"/>
          <w:sz w:val="32"/>
          <w:szCs w:val="24"/>
        </w:rPr>
        <w:t>行政执法主体概况</w:t>
      </w:r>
    </w:p>
    <w:tbl>
      <w:tblPr>
        <w:tblStyle w:val="4"/>
        <w:tblpPr w:leftFromText="180" w:rightFromText="180" w:vertAnchor="text" w:horzAnchor="page" w:tblpX="1361" w:tblpY="307"/>
        <w:tblOverlap w:val="never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988"/>
        <w:gridCol w:w="822"/>
        <w:gridCol w:w="892"/>
        <w:gridCol w:w="825"/>
        <w:gridCol w:w="981"/>
        <w:gridCol w:w="822"/>
        <w:gridCol w:w="852"/>
        <w:gridCol w:w="898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4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行政执法主体基本信息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行政机关（个）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授权组织（个）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受委托组织（个）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内设法制机构（个）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内设行政执法机构（个）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行政执法人员（人）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持证行政执法人员（人）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行政执法监督人员（人）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持证行政执法监督人员（人）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bookmarkStart w:id="0" w:name="OLE_LINK1"/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大冶市人力资源和社会保障局</w:t>
            </w:r>
            <w:bookmarkEnd w:id="0"/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firstLine="202" w:firstLineChars="100"/>
              <w:jc w:val="both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firstLine="404" w:firstLineChars="200"/>
              <w:jc w:val="both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 xml:space="preserve">0        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 xml:space="preserve"> 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20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20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ind w:firstLine="404" w:firstLineChars="200"/>
        <w:textAlignment w:val="auto"/>
        <w:rPr>
          <w:rFonts w:hint="eastAsia" w:ascii="CESI黑体-GB2312" w:hAnsi="CESI黑体-GB2312" w:eastAsia="仿宋_GB2312"/>
          <w:color w:val="auto"/>
          <w:sz w:val="32"/>
          <w:szCs w:val="24"/>
          <w:lang w:eastAsia="zh-CN"/>
        </w:rPr>
      </w:pPr>
      <w:r>
        <w:rPr>
          <w:rFonts w:hint="eastAsia" w:ascii="仿宋_GB2312" w:hAnsi="仿宋_GB2312" w:eastAsia="仿宋_GB2312"/>
          <w:b/>
          <w:color w:val="auto"/>
          <w:kern w:val="0"/>
          <w:sz w:val="21"/>
          <w:szCs w:val="24"/>
        </w:rPr>
        <w:t>说明：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</w:rPr>
        <w:t>行政执法主体分为三类：即具有行政执法权的行政机关；法律、法规授权的具有管理公共事务职能的组织；受委托组织。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eastAsia="zh-CN"/>
        </w:rPr>
        <w:t>此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val="en-US" w:eastAsia="zh-CN"/>
        </w:rPr>
        <w:t>3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eastAsia="zh-CN"/>
        </w:rPr>
        <w:t>列除了统计数量，还要分别列明具体的单位名称。填报时可另附表说明。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</w:rPr>
        <w:t>行政执法人员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val="en-US" w:eastAsia="zh-CN"/>
        </w:rPr>
        <w:t>=持证行政执法人员+在执法岗的在职在编暂未办证人员，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</w:rPr>
        <w:t>包括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</w:rPr>
        <w:t>分管领导和主要领导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  <w:lang w:eastAsia="zh-CN"/>
        </w:rPr>
        <w:t>；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</w:rPr>
        <w:t>行政执法监督人员是指本单位从事行政执法监督工作的人员，一般指本单位内设法制机构工作人员，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</w:rPr>
        <w:t>包括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</w:rPr>
        <w:t>分管领导和主要领导。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eastAsia="zh-CN"/>
        </w:rPr>
        <w:t>同一领导同一时间不能既是行政执法人员又是行政执法监督人员。</w:t>
      </w:r>
    </w:p>
    <w:p>
      <w:pPr>
        <w:spacing w:beforeLines="0" w:afterLines="0" w:line="580" w:lineRule="exact"/>
        <w:ind w:firstLine="624" w:firstLineChars="200"/>
        <w:rPr>
          <w:rFonts w:hint="eastAsia" w:ascii="CESI黑体-GB2312" w:hAnsi="CESI黑体-GB2312" w:eastAsia="CESI黑体-GB2312"/>
          <w:color w:val="auto"/>
          <w:sz w:val="32"/>
          <w:szCs w:val="24"/>
        </w:rPr>
      </w:pPr>
      <w:r>
        <w:rPr>
          <w:rFonts w:hint="eastAsia" w:ascii="CESI黑体-GB2312" w:hAnsi="CESI黑体-GB2312" w:eastAsia="CESI黑体-GB2312"/>
          <w:color w:val="auto"/>
          <w:sz w:val="32"/>
          <w:szCs w:val="24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24"/>
        </w:rPr>
        <w:t>二、2024年度行政执法案件情况</w:t>
      </w:r>
    </w:p>
    <w:p>
      <w:pPr>
        <w:pStyle w:val="3"/>
        <w:spacing w:before="0" w:beforeLines="0" w:beforeAutospacing="0" w:after="0" w:afterLines="0" w:afterAutospacing="0" w:line="580" w:lineRule="exact"/>
        <w:ind w:firstLine="624" w:firstLineChars="200"/>
        <w:jc w:val="both"/>
        <w:rPr>
          <w:rFonts w:hint="eastAsia" w:ascii="CESI楷体-GB2312" w:hAnsi="CESI楷体-GB2312" w:eastAsia="CESI楷体-GB2312"/>
          <w:color w:val="auto"/>
          <w:sz w:val="16"/>
          <w:szCs w:val="24"/>
        </w:rPr>
      </w:pPr>
      <w:r>
        <w:rPr>
          <w:rFonts w:hint="eastAsia" w:ascii="CESI楷体-GB2312" w:hAnsi="CESI楷体-GB2312" w:eastAsia="CESI楷体-GB2312"/>
          <w:color w:val="auto"/>
          <w:sz w:val="32"/>
          <w:szCs w:val="24"/>
        </w:rPr>
        <w:t>（一）2024年行政处罚实施情况统计表</w:t>
      </w:r>
    </w:p>
    <w:tbl>
      <w:tblPr>
        <w:tblStyle w:val="4"/>
        <w:tblW w:w="87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6"/>
        <w:gridCol w:w="948"/>
        <w:gridCol w:w="619"/>
        <w:gridCol w:w="988"/>
        <w:gridCol w:w="1106"/>
        <w:gridCol w:w="825"/>
        <w:gridCol w:w="919"/>
        <w:gridCol w:w="919"/>
        <w:gridCol w:w="13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8740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tabs>
                <w:tab w:val="left" w:pos="3082"/>
              </w:tabs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行政处罚实施数量（宗）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10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单位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名称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警告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通报批评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罚款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没收违法所得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没收非法财物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暂扣许可证件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降低资质等级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吊销许可证件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大冶市人力资源和社会保障局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1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</w:rPr>
              <w:t>单位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</w:rPr>
              <w:t>名称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</w:rPr>
              <w:t>限制开展生产经营活动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</w:rPr>
              <w:t>责令停产停业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</w:rPr>
              <w:t>责令关闭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</w:rPr>
              <w:t>限制从业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</w:rPr>
              <w:t>行政拘留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</w:rPr>
              <w:t>其他行政处罚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</w:rPr>
              <w:t>合计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</w:rPr>
              <w:t>（宗）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</w:rPr>
              <w:t>罚没金额（万元）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大冶市人力资源和社会保障局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7</w:t>
            </w:r>
          </w:p>
        </w:tc>
      </w:tr>
    </w:tbl>
    <w:p>
      <w:pPr>
        <w:pStyle w:val="3"/>
        <w:spacing w:before="0" w:beforeLines="0" w:beforeAutospacing="0" w:after="0" w:afterLines="0" w:afterAutospacing="0" w:line="300" w:lineRule="exact"/>
        <w:ind w:firstLine="404" w:firstLineChars="200"/>
        <w:jc w:val="both"/>
        <w:rPr>
          <w:rFonts w:hint="default" w:ascii="CESI仿宋-GB2312" w:hAnsi="CESI仿宋-GB2312" w:eastAsia="CESI仿宋-GB2312"/>
          <w:b/>
          <w:bCs/>
          <w:color w:val="auto"/>
          <w:sz w:val="21"/>
          <w:szCs w:val="24"/>
        </w:rPr>
      </w:pPr>
      <w:r>
        <w:rPr>
          <w:rFonts w:hint="eastAsia" w:ascii="仿宋_GB2312" w:hAnsi="仿宋_GB2312" w:eastAsia="仿宋_GB2312"/>
          <w:b/>
          <w:color w:val="auto"/>
          <w:sz w:val="21"/>
          <w:szCs w:val="24"/>
        </w:rPr>
        <w:t>说明：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1.行政处罚实施数量的统计范围为统计年度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1月1日至12月31日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期间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作出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行政处罚决定的数量。2.单处一个类别行政处罚的，计入相应的行政处罚类别；并处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两种以上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行政处罚的，算一宗行政处罚，计入表格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排序在后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的行政处罚类别。如“没收违法所得，并处罚款”，计入“没收违法所得”类别；并处明确类别的行政处罚和其他行政处罚的，计入明确类别的行政处罚，如“处罚款，并处其他行政处罚”，计入“罚款”类别。行政处罚类别表格排序：（1）警告；（2）通报批评；（3）罚款；（4）没收违法所得；（5）没收非法财物；（6）暂扣许可证件；（7）降低资质等级；（8）吊销许可证件；（9）限制开展生产经营活动；（10）责令停产停业；（11）责令关闭；（12）限制从业；（13）行政拘留；（14）其他行政处罚。3.“没收非法财物”能通过评估、拍卖等手段确定金额的，计入“罚没金额”；不能确定金额的，不计入“罚没金额”。</w:t>
      </w:r>
      <w:r>
        <w:rPr>
          <w:rFonts w:hint="eastAsia" w:ascii="仿宋_GB2312" w:hAnsi="仿宋_GB2312" w:eastAsia="仿宋_GB2312"/>
          <w:color w:val="auto"/>
          <w:sz w:val="21"/>
          <w:szCs w:val="24"/>
          <w:lang w:val="en-US" w:eastAsia="zh-CN"/>
        </w:rPr>
        <w:t>4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.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“罚没金额”以处罚决定书确定的金额为准。</w:t>
      </w:r>
    </w:p>
    <w:p>
      <w:pPr>
        <w:pStyle w:val="3"/>
        <w:spacing w:before="180" w:beforeLines="0" w:beforeAutospacing="0" w:after="0" w:afterLines="0" w:afterAutospacing="0" w:line="368" w:lineRule="atLeast"/>
        <w:ind w:firstLine="624" w:firstLineChars="200"/>
        <w:jc w:val="both"/>
        <w:rPr>
          <w:rFonts w:hint="eastAsia" w:ascii="CESI楷体-GB2312" w:hAnsi="CESI楷体-GB2312" w:eastAsia="CESI楷体-GB2312"/>
          <w:color w:val="auto"/>
          <w:sz w:val="16"/>
          <w:szCs w:val="24"/>
        </w:rPr>
      </w:pPr>
      <w:r>
        <w:rPr>
          <w:rFonts w:hint="eastAsia" w:ascii="CESI楷体-GB2312" w:hAnsi="CESI楷体-GB2312" w:eastAsia="CESI楷体-GB2312"/>
          <w:color w:val="auto"/>
          <w:sz w:val="32"/>
          <w:szCs w:val="24"/>
        </w:rPr>
        <w:br w:type="page"/>
      </w:r>
      <w:r>
        <w:rPr>
          <w:rFonts w:hint="eastAsia" w:ascii="CESI楷体-GB2312" w:hAnsi="CESI楷体-GB2312" w:eastAsia="CESI楷体-GB2312"/>
          <w:color w:val="auto"/>
          <w:sz w:val="32"/>
          <w:szCs w:val="24"/>
        </w:rPr>
        <w:t>（二）2024年行政许可实施情况统计表</w:t>
      </w:r>
    </w:p>
    <w:tbl>
      <w:tblPr>
        <w:tblStyle w:val="4"/>
        <w:tblW w:w="91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"/>
        <w:gridCol w:w="1069"/>
        <w:gridCol w:w="1300"/>
        <w:gridCol w:w="1320"/>
        <w:gridCol w:w="1514"/>
        <w:gridCol w:w="1420"/>
        <w:gridCol w:w="14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126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spacing w:before="0" w:beforeLines="0" w:beforeAutospacing="0" w:after="0" w:afterLines="0" w:afterAutospacing="0" w:line="420" w:lineRule="exact"/>
              <w:jc w:val="center"/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行政许可实施数量（宗）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0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单位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申请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受理数量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许可数量</w:t>
            </w: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不予许可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撤销许可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4"/>
                <w:szCs w:val="24"/>
                <w:lang w:val="en-US" w:eastAsia="zh-CN"/>
              </w:rPr>
              <w:t>大冶市人力资源和社会保障局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spacing w:before="0" w:beforeLines="0" w:beforeAutospacing="0" w:after="0" w:afterLines="0" w:afterAutospacing="0" w:line="360" w:lineRule="exact"/>
        <w:ind w:firstLine="404" w:firstLineChars="200"/>
        <w:jc w:val="both"/>
        <w:rPr>
          <w:rFonts w:hint="default" w:ascii="CESI仿宋-GB2312" w:hAnsi="CESI仿宋-GB2312" w:eastAsia="仿宋_GB2312"/>
          <w:color w:val="auto"/>
          <w:sz w:val="21"/>
          <w:szCs w:val="24"/>
          <w:lang w:val="en-US" w:eastAsia="zh-CN"/>
        </w:rPr>
      </w:pPr>
      <w:r>
        <w:rPr>
          <w:rFonts w:hint="eastAsia" w:ascii="仿宋_GB2312" w:hAnsi="仿宋_GB2312" w:eastAsia="仿宋_GB2312"/>
          <w:b/>
          <w:color w:val="auto"/>
          <w:sz w:val="21"/>
          <w:szCs w:val="24"/>
        </w:rPr>
        <w:t>说明：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1.“申请数量”的统计范围为统计年度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1月1日至12月31日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期间许可机关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收到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当事人许可申请的数量。2.“受理数量”、“许可数量”、“不予许可数量”、“撤销许可数量”的统计范围为统计年度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1月1日至12月31日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期间许可机关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作出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受理决定、许可决定、不予许可决定和撤销许可决定的数量</w:t>
      </w:r>
      <w:r>
        <w:rPr>
          <w:rFonts w:hint="eastAsia" w:ascii="仿宋_GB2312" w:hAnsi="仿宋_GB2312" w:eastAsia="仿宋_GB2312"/>
          <w:color w:val="auto"/>
          <w:sz w:val="21"/>
          <w:szCs w:val="24"/>
          <w:lang w:eastAsia="zh-CN"/>
        </w:rPr>
        <w:t>。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  <w:lang w:eastAsia="zh-CN"/>
        </w:rPr>
        <w:t>申请数量大于或等于受理数量，受理数量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  <w:lang w:val="en-US" w:eastAsia="zh-CN"/>
        </w:rPr>
        <w:t>=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  <w:lang w:eastAsia="zh-CN"/>
        </w:rPr>
        <w:t>许可数量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  <w:lang w:val="en-US" w:eastAsia="zh-CN"/>
        </w:rPr>
        <w:t>+不予许可数量。</w:t>
      </w:r>
    </w:p>
    <w:p>
      <w:pPr>
        <w:pStyle w:val="3"/>
        <w:spacing w:before="180" w:beforeLines="0" w:beforeAutospacing="0" w:after="0" w:afterLines="0" w:afterAutospacing="0" w:line="368" w:lineRule="atLeast"/>
        <w:ind w:firstLine="624" w:firstLineChars="200"/>
        <w:jc w:val="both"/>
        <w:rPr>
          <w:rFonts w:hint="eastAsia" w:ascii="CESI楷体-GB2312" w:hAnsi="CESI楷体-GB2312" w:eastAsia="CESI楷体-GB2312"/>
          <w:color w:val="auto"/>
          <w:sz w:val="16"/>
          <w:szCs w:val="24"/>
        </w:rPr>
      </w:pPr>
      <w:r>
        <w:rPr>
          <w:rFonts w:hint="eastAsia" w:ascii="CESI楷体-GB2312" w:hAnsi="CESI楷体-GB2312" w:eastAsia="CESI楷体-GB2312"/>
          <w:color w:val="auto"/>
          <w:sz w:val="32"/>
          <w:szCs w:val="24"/>
        </w:rPr>
        <w:br w:type="page"/>
      </w:r>
      <w:r>
        <w:rPr>
          <w:rFonts w:hint="eastAsia" w:ascii="CESI楷体-GB2312" w:hAnsi="CESI楷体-GB2312" w:eastAsia="CESI楷体-GB2312"/>
          <w:color w:val="auto"/>
          <w:sz w:val="32"/>
          <w:szCs w:val="24"/>
        </w:rPr>
        <w:t>（三）2024年行政强制实施情况统计表</w:t>
      </w:r>
      <w:r>
        <w:rPr>
          <w:rStyle w:val="6"/>
          <w:rFonts w:hint="eastAsia" w:ascii="CESI楷体-GB2312" w:hAnsi="CESI楷体-GB2312" w:eastAsia="CESI楷体-GB2312"/>
          <w:b w:val="0"/>
          <w:color w:val="auto"/>
          <w:sz w:val="16"/>
          <w:szCs w:val="24"/>
        </w:rPr>
        <w:t> </w:t>
      </w:r>
    </w:p>
    <w:tbl>
      <w:tblPr>
        <w:tblStyle w:val="4"/>
        <w:tblW w:w="93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8"/>
        <w:gridCol w:w="730"/>
        <w:gridCol w:w="643"/>
        <w:gridCol w:w="685"/>
        <w:gridCol w:w="683"/>
        <w:gridCol w:w="578"/>
        <w:gridCol w:w="725"/>
        <w:gridCol w:w="937"/>
        <w:gridCol w:w="738"/>
        <w:gridCol w:w="596"/>
        <w:gridCol w:w="580"/>
        <w:gridCol w:w="687"/>
        <w:gridCol w:w="7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  <w:jc w:val="center"/>
        </w:trPr>
        <w:tc>
          <w:tcPr>
            <w:tcW w:w="9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单位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名称</w:t>
            </w:r>
          </w:p>
        </w:tc>
        <w:tc>
          <w:tcPr>
            <w:tcW w:w="2741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行政强制措施实施数量（宗）</w:t>
            </w:r>
          </w:p>
        </w:tc>
        <w:tc>
          <w:tcPr>
            <w:tcW w:w="4841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行政强制执行实施数量（宗）</w:t>
            </w:r>
          </w:p>
        </w:tc>
        <w:tc>
          <w:tcPr>
            <w:tcW w:w="79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合计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（宗）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9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查封场所、设施或者财物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  <w:tc>
          <w:tcPr>
            <w:tcW w:w="6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扣押财物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冻结存款、汇款</w:t>
            </w:r>
          </w:p>
        </w:tc>
        <w:tc>
          <w:tcPr>
            <w:tcW w:w="6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其他行政强制措施</w:t>
            </w:r>
          </w:p>
        </w:tc>
        <w:tc>
          <w:tcPr>
            <w:tcW w:w="415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行政机关强制执行</w:t>
            </w:r>
          </w:p>
        </w:tc>
        <w:tc>
          <w:tcPr>
            <w:tcW w:w="6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申请法院强制执行</w:t>
            </w:r>
          </w:p>
        </w:tc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6" w:hRule="atLeast"/>
          <w:jc w:val="center"/>
        </w:trPr>
        <w:tc>
          <w:tcPr>
            <w:tcW w:w="9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加处罚款或者滞纳金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划拨存款、汇款</w:t>
            </w:r>
          </w:p>
        </w:tc>
        <w:tc>
          <w:tcPr>
            <w:tcW w:w="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拍卖或者依法处理查封、扣押的场所、设施或者财物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排除妨碍、恢复原状</w:t>
            </w:r>
          </w:p>
        </w:tc>
        <w:tc>
          <w:tcPr>
            <w:tcW w:w="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代履行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其他强制执行</w:t>
            </w:r>
          </w:p>
        </w:tc>
        <w:tc>
          <w:tcPr>
            <w:tcW w:w="6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4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大冶市人力资源和社会保障局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spacing w:before="0" w:beforeLines="0" w:beforeAutospacing="0" w:after="0" w:afterLines="0" w:afterAutospacing="0" w:line="360" w:lineRule="exact"/>
        <w:ind w:firstLine="404" w:firstLineChars="200"/>
        <w:jc w:val="both"/>
        <w:rPr>
          <w:rFonts w:hint="eastAsia" w:ascii="仿宋_GB2312" w:hAnsi="仿宋_GB2312" w:eastAsia="仿宋_GB2312"/>
          <w:color w:val="auto"/>
          <w:sz w:val="21"/>
          <w:szCs w:val="24"/>
        </w:rPr>
      </w:pPr>
      <w:r>
        <w:rPr>
          <w:rFonts w:hint="eastAsia" w:ascii="仿宋_GB2312" w:hAnsi="仿宋_GB2312" w:eastAsia="仿宋_GB2312"/>
          <w:b/>
          <w:color w:val="auto"/>
          <w:sz w:val="21"/>
          <w:szCs w:val="24"/>
        </w:rPr>
        <w:t>说明：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1.“行政强制措施实施数量”的统计范围为统计年度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1月1日至12月31日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期间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作出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的表格所列各类行政强制措施决定的数量。2.“行政强制执行实施数量” 的统计范围为统计年度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1月1日至12月31日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期间表格所列各类行政强制执行行为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执行完毕或者终结执行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的数量。3.“申请法院强制执行”数量的统计范围为统计年度1月1日至12月31日期间向法院申请强制执行的数量，时间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以申请日期为准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。</w:t>
      </w:r>
    </w:p>
    <w:p>
      <w:pPr>
        <w:pStyle w:val="3"/>
        <w:spacing w:before="0" w:beforeLines="0" w:beforeAutospacing="0" w:after="0" w:afterLines="0" w:afterAutospacing="0" w:line="360" w:lineRule="exact"/>
        <w:ind w:firstLine="624" w:firstLineChars="200"/>
        <w:jc w:val="both"/>
        <w:rPr>
          <w:rFonts w:hint="eastAsia" w:ascii="CESI楷体-GB2312" w:hAnsi="CESI楷体-GB2312" w:eastAsia="CESI楷体-GB2312"/>
          <w:color w:val="auto"/>
          <w:sz w:val="16"/>
          <w:szCs w:val="24"/>
        </w:rPr>
      </w:pPr>
      <w:r>
        <w:rPr>
          <w:rFonts w:hint="eastAsia" w:ascii="CESI楷体-GB2312" w:hAnsi="CESI楷体-GB2312" w:eastAsia="CESI楷体-GB2312"/>
          <w:color w:val="auto"/>
          <w:sz w:val="32"/>
          <w:szCs w:val="24"/>
        </w:rPr>
        <w:br w:type="page"/>
      </w:r>
      <w:r>
        <w:rPr>
          <w:rFonts w:hint="eastAsia" w:ascii="CESI楷体-GB2312" w:hAnsi="CESI楷体-GB2312" w:eastAsia="CESI楷体-GB2312"/>
          <w:color w:val="auto"/>
          <w:sz w:val="32"/>
          <w:szCs w:val="24"/>
        </w:rPr>
        <w:t>（四）2024年行政检查实施情况统计表</w:t>
      </w:r>
      <w:r>
        <w:rPr>
          <w:rStyle w:val="6"/>
          <w:rFonts w:hint="eastAsia" w:ascii="CESI楷体-GB2312" w:hAnsi="CESI楷体-GB2312" w:eastAsia="CESI楷体-GB2312"/>
          <w:b w:val="0"/>
          <w:color w:val="auto"/>
          <w:sz w:val="16"/>
          <w:szCs w:val="24"/>
        </w:rPr>
        <w:t> </w:t>
      </w:r>
    </w:p>
    <w:tbl>
      <w:tblPr>
        <w:tblStyle w:val="4"/>
        <w:tblW w:w="86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1"/>
        <w:gridCol w:w="866"/>
        <w:gridCol w:w="727"/>
        <w:gridCol w:w="747"/>
        <w:gridCol w:w="813"/>
        <w:gridCol w:w="840"/>
        <w:gridCol w:w="740"/>
        <w:gridCol w:w="753"/>
        <w:gridCol w:w="734"/>
        <w:gridCol w:w="720"/>
        <w:gridCol w:w="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81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 xml:space="preserve">单位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名称</w:t>
            </w:r>
          </w:p>
        </w:tc>
        <w:tc>
          <w:tcPr>
            <w:tcW w:w="86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行政检查计划（次）</w:t>
            </w:r>
          </w:p>
        </w:tc>
        <w:tc>
          <w:tcPr>
            <w:tcW w:w="72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行政检查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实施（次）</w:t>
            </w:r>
          </w:p>
        </w:tc>
        <w:tc>
          <w:tcPr>
            <w:tcW w:w="4627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涉企行政执法检查</w:t>
            </w:r>
          </w:p>
        </w:tc>
        <w:tc>
          <w:tcPr>
            <w:tcW w:w="72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发现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问题（个）</w:t>
            </w:r>
          </w:p>
        </w:tc>
        <w:tc>
          <w:tcPr>
            <w:tcW w:w="86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问题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整改（个）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" w:hRule="atLeast"/>
        </w:trPr>
        <w:tc>
          <w:tcPr>
            <w:tcW w:w="81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双随机一公开（次）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非现场检查（次）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综合查一次（次）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both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联合检查（次）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专项检查（次）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其他（次）</w:t>
            </w: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9" w:hRule="atLeast"/>
        </w:trPr>
        <w:tc>
          <w:tcPr>
            <w:tcW w:w="8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大冶市人力资源和社会保障局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37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37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22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14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2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2</w:t>
            </w:r>
          </w:p>
        </w:tc>
      </w:tr>
    </w:tbl>
    <w:p>
      <w:pPr>
        <w:pStyle w:val="3"/>
        <w:spacing w:before="0" w:beforeLines="0" w:beforeAutospacing="0" w:after="0" w:afterLines="0" w:afterAutospacing="0" w:line="360" w:lineRule="exact"/>
        <w:ind w:firstLine="404" w:firstLineChars="200"/>
        <w:jc w:val="both"/>
        <w:rPr>
          <w:rFonts w:hint="eastAsia" w:ascii="CESI楷体-GB2312" w:hAnsi="CESI楷体-GB2312" w:eastAsia="CESI楷体-GB2312"/>
          <w:color w:val="auto"/>
          <w:sz w:val="16"/>
          <w:szCs w:val="24"/>
        </w:rPr>
      </w:pPr>
      <w:r>
        <w:rPr>
          <w:rFonts w:hint="eastAsia" w:ascii="仿宋_GB2312" w:hAnsi="仿宋_GB2312" w:eastAsia="仿宋_GB2312"/>
          <w:b/>
          <w:color w:val="auto"/>
          <w:sz w:val="21"/>
          <w:szCs w:val="24"/>
        </w:rPr>
        <w:t>说明：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行政检查计划次数是具有行政检查权的行政执法主体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拟定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开展行政检查活动计划次数，行政检查实施是指具有行政检查权的行政执法主体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实际组织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开展的行政检查活动次数。“行政检查次数”的统计范围为统计年度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1月1日至12月31日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期间开展行政检查的次数；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检查1个检查对象，有完整、详细检查记录的，计为检查1次；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无特定检查对象的巡查、巡逻，无完整、详细检查记录，检查后作出行政处罚等其他行政执法行为的，</w:t>
      </w:r>
      <w:r>
        <w:rPr>
          <w:rFonts w:hint="eastAsia" w:ascii="仿宋_GB2312" w:hAnsi="仿宋_GB2312" w:eastAsia="仿宋_GB2312"/>
          <w:b w:val="0"/>
          <w:bCs w:val="0"/>
          <w:color w:val="auto"/>
          <w:sz w:val="21"/>
          <w:szCs w:val="24"/>
        </w:rPr>
        <w:t>均不计为检查次数。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综合查一次侧重于检查频次，联合检查侧重于检查主体的多部门联合。</w:t>
      </w:r>
      <w:r>
        <w:rPr>
          <w:rFonts w:hint="eastAsia" w:ascii="CESI楷体-GB2312" w:hAnsi="CESI楷体-GB2312" w:eastAsia="CESI楷体-GB2312"/>
          <w:b/>
          <w:bCs/>
          <w:color w:val="auto"/>
          <w:sz w:val="32"/>
          <w:szCs w:val="24"/>
        </w:rPr>
        <w:br w:type="page"/>
      </w:r>
      <w:r>
        <w:rPr>
          <w:rFonts w:hint="eastAsia" w:ascii="CESI楷体-GB2312" w:hAnsi="CESI楷体-GB2312" w:eastAsia="CESI楷体-GB2312"/>
          <w:color w:val="auto"/>
          <w:sz w:val="32"/>
          <w:szCs w:val="24"/>
        </w:rPr>
        <w:t>（五）2024年其他行政执法行为实施情况统计表</w:t>
      </w:r>
    </w:p>
    <w:tbl>
      <w:tblPr>
        <w:tblStyle w:val="4"/>
        <w:tblW w:w="89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1"/>
        <w:gridCol w:w="412"/>
        <w:gridCol w:w="1071"/>
        <w:gridCol w:w="420"/>
        <w:gridCol w:w="1029"/>
        <w:gridCol w:w="334"/>
        <w:gridCol w:w="1063"/>
        <w:gridCol w:w="625"/>
        <w:gridCol w:w="480"/>
        <w:gridCol w:w="1038"/>
        <w:gridCol w:w="796"/>
        <w:gridCol w:w="6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100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 xml:space="preserve">单位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名称</w:t>
            </w:r>
          </w:p>
        </w:tc>
        <w:tc>
          <w:tcPr>
            <w:tcW w:w="14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行政征收</w:t>
            </w:r>
          </w:p>
        </w:tc>
        <w:tc>
          <w:tcPr>
            <w:tcW w:w="144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行政裁决</w:t>
            </w:r>
          </w:p>
        </w:tc>
        <w:tc>
          <w:tcPr>
            <w:tcW w:w="139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行政给付</w:t>
            </w:r>
          </w:p>
        </w:tc>
        <w:tc>
          <w:tcPr>
            <w:tcW w:w="6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行政确认</w:t>
            </w:r>
          </w:p>
        </w:tc>
        <w:tc>
          <w:tcPr>
            <w:tcW w:w="15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行政奖励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其他行政执法行为</w:t>
            </w:r>
          </w:p>
        </w:tc>
        <w:tc>
          <w:tcPr>
            <w:tcW w:w="63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合计</w:t>
            </w: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pacing w:val="-16"/>
                <w:w w:val="96"/>
                <w:sz w:val="21"/>
                <w:szCs w:val="24"/>
              </w:rPr>
              <w:t>（宗）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0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beforeLines="0" w:afterLines="0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宗数</w:t>
            </w:r>
          </w:p>
        </w:tc>
        <w:tc>
          <w:tcPr>
            <w:tcW w:w="1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征收总金额（万元）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宗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数</w:t>
            </w: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涉及金额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（万元）</w:t>
            </w:r>
          </w:p>
        </w:tc>
        <w:tc>
          <w:tcPr>
            <w:tcW w:w="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宗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数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给付总金额（万元）</w:t>
            </w:r>
          </w:p>
        </w:tc>
        <w:tc>
          <w:tcPr>
            <w:tcW w:w="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宗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数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宗数</w:t>
            </w: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奖励总金额（万元）</w:t>
            </w:r>
          </w:p>
        </w:tc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宗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数</w:t>
            </w:r>
          </w:p>
        </w:tc>
        <w:tc>
          <w:tcPr>
            <w:tcW w:w="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大冶市人力资源和社会保障局</w:t>
            </w:r>
          </w:p>
        </w:tc>
        <w:tc>
          <w:tcPr>
            <w:tcW w:w="4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810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theme="minorBidi"/>
                <w:b w:val="0"/>
                <w:color w:val="auto"/>
                <w:sz w:val="21"/>
                <w:szCs w:val="24"/>
                <w:lang w:val="en-US" w:eastAsia="zh-CN"/>
              </w:rPr>
              <w:t>810</w:t>
            </w:r>
          </w:p>
        </w:tc>
      </w:tr>
    </w:tbl>
    <w:p>
      <w:pPr>
        <w:spacing w:beforeLines="0" w:afterLines="0" w:line="140" w:lineRule="exact"/>
        <w:ind w:firstLine="624" w:firstLineChars="200"/>
        <w:rPr>
          <w:rFonts w:hint="default" w:ascii="CESI仿宋-GB2312" w:hAnsi="CESI仿宋-GB2312" w:eastAsia="CESI仿宋-GB2312"/>
          <w:color w:val="auto"/>
          <w:sz w:val="32"/>
          <w:szCs w:val="24"/>
        </w:rPr>
      </w:pPr>
    </w:p>
    <w:p>
      <w:pPr>
        <w:spacing w:beforeLines="0" w:afterLines="0" w:line="360" w:lineRule="exact"/>
        <w:ind w:firstLine="404" w:firstLineChars="200"/>
        <w:rPr>
          <w:rFonts w:hint="eastAsia" w:ascii="仿宋_GB2312" w:hAnsi="仿宋_GB2312" w:eastAsia="仿宋_GB2312"/>
          <w:color w:val="auto"/>
          <w:sz w:val="21"/>
          <w:szCs w:val="24"/>
          <w:lang w:eastAsia="zh-CN"/>
        </w:rPr>
      </w:pPr>
      <w:r>
        <w:rPr>
          <w:rFonts w:hint="eastAsia" w:ascii="仿宋_GB2312" w:hAnsi="仿宋_GB2312" w:eastAsia="仿宋_GB2312"/>
          <w:b/>
          <w:color w:val="auto"/>
          <w:sz w:val="21"/>
          <w:szCs w:val="24"/>
        </w:rPr>
        <w:t>说明：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1.“行政征收次数”的统计范围为统计年度1月1日至12月31日期间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征收完毕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的数量。2.“行政裁决宗数”、“行政确认宗数”、“行政奖励宗数”的统计范围为统计年度1月1日至12月31日期间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作出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决定的数量。3.“行政给付宗数”的统计范围为统计年度1月1日至12月31日期间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给付完毕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的数量。4.“其他行政执法行为”的统计范围为统计年度1月1日至12月31日期间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完成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的宗数。“其他行政执法行为”</w:t>
      </w:r>
      <w:r>
        <w:rPr>
          <w:rFonts w:hint="eastAsia" w:ascii="仿宋_GB2312" w:hAnsi="仿宋_GB2312" w:eastAsia="仿宋_GB2312"/>
          <w:color w:val="auto"/>
          <w:sz w:val="21"/>
          <w:szCs w:val="24"/>
          <w:lang w:eastAsia="zh-CN"/>
        </w:rPr>
        <w:t>指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  <w:lang w:eastAsia="zh-CN"/>
        </w:rPr>
        <w:t>行政备案、行政征用等</w:t>
      </w:r>
      <w:r>
        <w:rPr>
          <w:rFonts w:hint="eastAsia" w:ascii="仿宋_GB2312" w:hAnsi="仿宋_GB2312" w:eastAsia="仿宋_GB2312"/>
          <w:color w:val="auto"/>
          <w:sz w:val="21"/>
          <w:szCs w:val="24"/>
          <w:lang w:eastAsia="zh-CN"/>
        </w:rPr>
        <w:t>。</w:t>
      </w:r>
    </w:p>
    <w:p>
      <w:pPr>
        <w:spacing w:beforeLines="0" w:afterLines="0" w:line="360" w:lineRule="exact"/>
        <w:ind w:firstLine="624" w:firstLineChars="200"/>
        <w:rPr>
          <w:rFonts w:hint="eastAsia" w:ascii="CESI黑体-GB2312" w:hAnsi="CESI黑体-GB2312" w:eastAsia="CESI黑体-GB2312"/>
          <w:color w:val="auto"/>
          <w:sz w:val="32"/>
          <w:szCs w:val="24"/>
        </w:rPr>
      </w:pPr>
      <w:r>
        <w:rPr>
          <w:rFonts w:hint="eastAsia" w:ascii="CESI楷体-GB2312" w:hAnsi="CESI楷体-GB2312" w:eastAsia="CESI楷体-GB2312"/>
          <w:color w:val="auto"/>
          <w:sz w:val="32"/>
          <w:szCs w:val="24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24"/>
        </w:rPr>
        <w:t>三、2024年度行政执法投诉、举报案件情况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2024年我局接到举报投诉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83件，已办结83件，办结率100%。</w:t>
      </w:r>
    </w:p>
    <w:p>
      <w:pPr>
        <w:numPr>
          <w:ilvl w:val="0"/>
          <w:numId w:val="2"/>
        </w:numPr>
        <w:spacing w:beforeLines="0" w:afterLines="0"/>
        <w:ind w:firstLine="624" w:firstLineChars="200"/>
        <w:rPr>
          <w:rFonts w:hint="eastAsia" w:ascii="黑体" w:hAnsi="黑体" w:eastAsia="黑体" w:cs="黑体"/>
          <w:color w:val="auto"/>
          <w:sz w:val="32"/>
          <w:szCs w:val="24"/>
        </w:rPr>
      </w:pPr>
      <w:r>
        <w:rPr>
          <w:rFonts w:hint="eastAsia" w:ascii="黑体" w:hAnsi="黑体" w:eastAsia="黑体" w:cs="黑体"/>
          <w:color w:val="auto"/>
          <w:sz w:val="32"/>
          <w:szCs w:val="24"/>
        </w:rPr>
        <w:t>其他需要公示的统计数据</w:t>
      </w:r>
    </w:p>
    <w:p>
      <w:pPr>
        <w:numPr>
          <w:ilvl w:val="0"/>
          <w:numId w:val="0"/>
        </w:numPr>
        <w:spacing w:beforeLines="0" w:afterLines="0"/>
        <w:ind w:firstLine="1248" w:firstLineChars="400"/>
        <w:rPr>
          <w:rFonts w:hint="eastAsia" w:ascii="CESI仿宋-GB2312" w:hAnsi="CESI仿宋-GB2312" w:eastAsia="CESI仿宋-GB2312"/>
          <w:color w:val="auto"/>
          <w:sz w:val="32"/>
          <w:szCs w:val="24"/>
          <w:lang w:val="en-US" w:eastAsia="zh-CN"/>
        </w:rPr>
      </w:pPr>
      <w:r>
        <w:rPr>
          <w:rFonts w:hint="eastAsia" w:ascii="CESI仿宋-GB2312" w:hAnsi="CESI仿宋-GB2312" w:eastAsia="CESI仿宋-GB2312"/>
          <w:color w:val="auto"/>
          <w:sz w:val="32"/>
          <w:szCs w:val="24"/>
          <w:lang w:val="en-US" w:eastAsia="zh-CN"/>
        </w:rPr>
        <w:t>无</w:t>
      </w:r>
    </w:p>
    <w:p>
      <w:pPr>
        <w:numPr>
          <w:ilvl w:val="0"/>
          <w:numId w:val="0"/>
        </w:numPr>
        <w:spacing w:beforeLines="0" w:afterLines="0"/>
        <w:ind w:firstLine="624" w:firstLineChars="200"/>
        <w:rPr>
          <w:rFonts w:hint="default" w:ascii="CESI仿宋-GB2312" w:hAnsi="CESI仿宋-GB2312" w:eastAsia="CESI仿宋-GB2312"/>
          <w:color w:val="auto"/>
          <w:sz w:val="32"/>
          <w:szCs w:val="24"/>
        </w:rPr>
      </w:pPr>
    </w:p>
    <w:p>
      <w:pPr>
        <w:numPr>
          <w:ilvl w:val="0"/>
          <w:numId w:val="0"/>
        </w:numPr>
        <w:spacing w:beforeLines="0" w:afterLines="0"/>
        <w:ind w:firstLine="624" w:firstLineChars="200"/>
        <w:rPr>
          <w:rFonts w:hint="default" w:ascii="CESI仿宋-GB2312" w:hAnsi="CESI仿宋-GB2312" w:eastAsia="CESI仿宋-GB2312"/>
          <w:color w:val="auto"/>
          <w:sz w:val="32"/>
          <w:szCs w:val="24"/>
        </w:rPr>
      </w:pPr>
    </w:p>
    <w:p>
      <w:pPr>
        <w:wordWrap w:val="0"/>
        <w:spacing w:beforeLines="0" w:afterLines="0"/>
        <w:jc w:val="right"/>
        <w:rPr>
          <w:rFonts w:hint="eastAsia" w:ascii="仿宋_GB2312" w:hAnsi="仿宋_GB2312" w:eastAsia="仿宋_GB2312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24"/>
          <w:lang w:val="en-US" w:eastAsia="zh-CN"/>
        </w:rPr>
        <w:t>大冶市人力资源和社会保障局</w:t>
      </w:r>
    </w:p>
    <w:p>
      <w:pPr>
        <w:wordWrap w:val="0"/>
        <w:spacing w:beforeLines="0" w:afterLines="0"/>
        <w:jc w:val="right"/>
        <w:rPr>
          <w:rFonts w:hint="eastAsia" w:ascii="仿宋_GB2312" w:hAnsi="仿宋_GB2312" w:eastAsia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/>
          <w:color w:val="auto"/>
          <w:sz w:val="32"/>
          <w:szCs w:val="24"/>
        </w:rPr>
        <w:t xml:space="preserve">                      </w:t>
      </w:r>
      <w:r>
        <w:rPr>
          <w:rFonts w:hint="eastAsia" w:ascii="仿宋_GB2312" w:hAnsi="仿宋_GB2312" w:eastAsia="仿宋_GB2312"/>
          <w:color w:val="auto"/>
          <w:sz w:val="32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sz w:val="32"/>
          <w:szCs w:val="24"/>
        </w:rPr>
        <w:t xml:space="preserve"> </w:t>
      </w:r>
      <w:r>
        <w:rPr>
          <w:rFonts w:hint="eastAsia" w:ascii="仿宋_GB2312" w:hAnsi="仿宋_GB2312" w:eastAsia="仿宋_GB2312"/>
          <w:color w:val="auto"/>
          <w:sz w:val="32"/>
          <w:szCs w:val="24"/>
          <w:lang w:val="en-US" w:eastAsia="zh-CN"/>
        </w:rPr>
        <w:t>2025</w:t>
      </w:r>
      <w:r>
        <w:rPr>
          <w:rFonts w:hint="eastAsia" w:ascii="仿宋_GB2312" w:hAnsi="仿宋_GB2312" w:eastAsia="仿宋_GB2312"/>
          <w:color w:val="auto"/>
          <w:sz w:val="32"/>
          <w:szCs w:val="24"/>
        </w:rPr>
        <w:t>年</w:t>
      </w:r>
      <w:r>
        <w:rPr>
          <w:rFonts w:hint="eastAsia" w:ascii="仿宋_GB2312" w:hAnsi="仿宋_GB2312" w:eastAsia="仿宋_GB2312"/>
          <w:color w:val="auto"/>
          <w:sz w:val="32"/>
          <w:szCs w:val="24"/>
          <w:lang w:val="en-US" w:eastAsia="zh-CN"/>
        </w:rPr>
        <w:t>1</w:t>
      </w:r>
      <w:r>
        <w:rPr>
          <w:rFonts w:hint="eastAsia" w:ascii="仿宋_GB2312" w:hAnsi="仿宋_GB2312" w:eastAsia="仿宋_GB2312"/>
          <w:color w:val="auto"/>
          <w:sz w:val="32"/>
          <w:szCs w:val="24"/>
        </w:rPr>
        <w:t>月</w:t>
      </w:r>
      <w:r>
        <w:rPr>
          <w:rFonts w:hint="eastAsia" w:ascii="仿宋_GB2312" w:hAnsi="仿宋_GB2312" w:eastAsia="仿宋_GB2312"/>
          <w:color w:val="auto"/>
          <w:sz w:val="32"/>
          <w:szCs w:val="24"/>
          <w:lang w:val="en-US" w:eastAsia="zh-CN"/>
        </w:rPr>
        <w:t>20</w:t>
      </w:r>
      <w:r>
        <w:rPr>
          <w:rFonts w:hint="eastAsia" w:ascii="仿宋_GB2312" w:hAnsi="仿宋_GB2312" w:eastAsia="仿宋_GB2312"/>
          <w:color w:val="auto"/>
          <w:sz w:val="32"/>
          <w:szCs w:val="24"/>
        </w:rPr>
        <w:t xml:space="preserve">日      </w:t>
      </w:r>
    </w:p>
    <w:p>
      <w:pPr>
        <w:spacing w:beforeLines="0" w:afterLines="0"/>
        <w:rPr>
          <w:rFonts w:hint="default"/>
          <w:color w:val="auto"/>
          <w:sz w:val="32"/>
          <w:szCs w:val="24"/>
        </w:rPr>
      </w:pPr>
    </w:p>
    <w:p>
      <w:pPr>
        <w:spacing w:beforeLines="0" w:afterLines="0"/>
        <w:rPr>
          <w:rFonts w:hint="default" w:ascii="仿宋" w:hAnsi="仿宋" w:eastAsia="仿宋"/>
          <w:color w:val="auto"/>
          <w:sz w:val="32"/>
          <w:szCs w:val="24"/>
        </w:rPr>
      </w:pPr>
    </w:p>
    <w:p>
      <w:pPr>
        <w:spacing w:beforeLines="0" w:afterLines="0"/>
        <w:rPr>
          <w:rFonts w:hint="default" w:ascii="仿宋" w:hAnsi="仿宋" w:eastAsia="仿宋"/>
          <w:color w:val="auto"/>
          <w:sz w:val="32"/>
          <w:szCs w:val="24"/>
        </w:rPr>
      </w:pPr>
    </w:p>
    <w:p/>
    <w:sectPr>
      <w:footerReference r:id="rId3" w:type="default"/>
      <w:pgSz w:w="11906" w:h="16838"/>
      <w:pgMar w:top="2098" w:right="1587" w:bottom="1531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pgNumType w:fmt="numberInDash"/>
      <w:cols w:space="720" w:num="1"/>
      <w:docGrid w:type="linesAndChars" w:linePitch="574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国标楷体">
    <w:altName w:val="楷体_GB2312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rPr>
        <w:rFonts w:hint="default"/>
        <w:sz w:val="18"/>
        <w:szCs w:val="24"/>
      </w:rPr>
    </w:pP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default"/>
                              <w:sz w:val="2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2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2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28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/>
                              <w:sz w:val="28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  <w:sz w:val="28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default"/>
                        <w:sz w:val="28"/>
                        <w:szCs w:val="24"/>
                      </w:rPr>
                      <w:fldChar w:fldCharType="begin"/>
                    </w:r>
                    <w:r>
                      <w:rPr>
                        <w:rFonts w:hint="default"/>
                        <w:sz w:val="2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28"/>
                        <w:szCs w:val="24"/>
                      </w:rPr>
                      <w:fldChar w:fldCharType="separate"/>
                    </w:r>
                    <w:r>
                      <w:rPr>
                        <w:rFonts w:hint="default"/>
                        <w:sz w:val="28"/>
                        <w:szCs w:val="24"/>
                      </w:rPr>
                      <w:t>1</w:t>
                    </w:r>
                    <w:r>
                      <w:rPr>
                        <w:rFonts w:hint="default"/>
                        <w:sz w:val="28"/>
                        <w:szCs w:val="24"/>
                      </w:rPr>
                      <w:fldChar w:fldCharType="end"/>
                    </w:r>
                    <w:r>
                      <w:rPr>
                        <w:rFonts w:hint="default"/>
                        <w:sz w:val="28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9857AB"/>
    <w:multiLevelType w:val="multilevel"/>
    <w:tmpl w:val="F69857AB"/>
    <w:lvl w:ilvl="0" w:tentative="0">
      <w:start w:val="1"/>
      <w:numFmt w:val="chineseCounting"/>
      <w:suff w:val="nothing"/>
      <w:lvlText w:val="%1、"/>
      <w:lvlJc w:val="left"/>
      <w:rPr>
        <w:rFonts w:hint="default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67BD90E3"/>
    <w:multiLevelType w:val="multilevel"/>
    <w:tmpl w:val="67BD90E3"/>
    <w:lvl w:ilvl="0" w:tentative="0">
      <w:start w:val="4"/>
      <w:numFmt w:val="chineseCounting"/>
      <w:suff w:val="nothing"/>
      <w:lvlText w:val="%1、"/>
      <w:lvlJc w:val="left"/>
      <w:rPr>
        <w:rFonts w:hint="default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OTQ3NzMyNjE3NWNkMjFiNDBiNzEwYWNjYjFkZjQifQ=="/>
    <w:docVar w:name="KSO_WPS_MARK_KEY" w:val="3dd56328-535e-4e52-a079-9daa0c2b5ab4"/>
  </w:docVars>
  <w:rsids>
    <w:rsidRoot w:val="283410E1"/>
    <w:rsid w:val="04532D85"/>
    <w:rsid w:val="05784534"/>
    <w:rsid w:val="067B3A34"/>
    <w:rsid w:val="06824DC3"/>
    <w:rsid w:val="071F6AB6"/>
    <w:rsid w:val="08E05D18"/>
    <w:rsid w:val="09023F99"/>
    <w:rsid w:val="097906FF"/>
    <w:rsid w:val="0B154457"/>
    <w:rsid w:val="0B1F52D6"/>
    <w:rsid w:val="0B6727D9"/>
    <w:rsid w:val="0C6F7B97"/>
    <w:rsid w:val="0CAA5073"/>
    <w:rsid w:val="0EFA4090"/>
    <w:rsid w:val="10C06C14"/>
    <w:rsid w:val="11CC15E8"/>
    <w:rsid w:val="122431D2"/>
    <w:rsid w:val="13646240"/>
    <w:rsid w:val="13ED41C3"/>
    <w:rsid w:val="1662251B"/>
    <w:rsid w:val="16EA2C3C"/>
    <w:rsid w:val="18BE612E"/>
    <w:rsid w:val="1A22449B"/>
    <w:rsid w:val="1A472154"/>
    <w:rsid w:val="1AAC1FB7"/>
    <w:rsid w:val="1D003CA6"/>
    <w:rsid w:val="1D594678"/>
    <w:rsid w:val="1FA92F69"/>
    <w:rsid w:val="1FFC6FBF"/>
    <w:rsid w:val="208760CF"/>
    <w:rsid w:val="21056B7A"/>
    <w:rsid w:val="218B0797"/>
    <w:rsid w:val="2241392C"/>
    <w:rsid w:val="22F95FB5"/>
    <w:rsid w:val="2446347C"/>
    <w:rsid w:val="250255F5"/>
    <w:rsid w:val="283410E1"/>
    <w:rsid w:val="298F31CF"/>
    <w:rsid w:val="2ADC2444"/>
    <w:rsid w:val="2C212804"/>
    <w:rsid w:val="2CAD4098"/>
    <w:rsid w:val="2CB216AE"/>
    <w:rsid w:val="2FFB336C"/>
    <w:rsid w:val="301D7787"/>
    <w:rsid w:val="3216448E"/>
    <w:rsid w:val="33613E2E"/>
    <w:rsid w:val="33DB773D"/>
    <w:rsid w:val="35E36D7D"/>
    <w:rsid w:val="38563836"/>
    <w:rsid w:val="3A4A4FFE"/>
    <w:rsid w:val="3D874491"/>
    <w:rsid w:val="3E263871"/>
    <w:rsid w:val="3EE55913"/>
    <w:rsid w:val="42220C2D"/>
    <w:rsid w:val="467F03FC"/>
    <w:rsid w:val="46D548C3"/>
    <w:rsid w:val="48677399"/>
    <w:rsid w:val="492928A1"/>
    <w:rsid w:val="49AF0FF8"/>
    <w:rsid w:val="49B155E8"/>
    <w:rsid w:val="4A6B6BAE"/>
    <w:rsid w:val="4C0A4C0B"/>
    <w:rsid w:val="4CEF5BAF"/>
    <w:rsid w:val="4ECC61A8"/>
    <w:rsid w:val="5133250E"/>
    <w:rsid w:val="52742DDF"/>
    <w:rsid w:val="528015B6"/>
    <w:rsid w:val="533B38FC"/>
    <w:rsid w:val="53826F9C"/>
    <w:rsid w:val="54DE6C35"/>
    <w:rsid w:val="561548D9"/>
    <w:rsid w:val="56D3069F"/>
    <w:rsid w:val="57AD7834"/>
    <w:rsid w:val="57CA34A1"/>
    <w:rsid w:val="57D61E46"/>
    <w:rsid w:val="57EF2F07"/>
    <w:rsid w:val="58726012"/>
    <w:rsid w:val="588E0972"/>
    <w:rsid w:val="58B274F0"/>
    <w:rsid w:val="59123351"/>
    <w:rsid w:val="5B1A029B"/>
    <w:rsid w:val="5C45759A"/>
    <w:rsid w:val="5D6121B1"/>
    <w:rsid w:val="5E4D0988"/>
    <w:rsid w:val="5E856373"/>
    <w:rsid w:val="5EBF3633"/>
    <w:rsid w:val="5F5F6ACE"/>
    <w:rsid w:val="5F9F3465"/>
    <w:rsid w:val="613320B7"/>
    <w:rsid w:val="61EF2482"/>
    <w:rsid w:val="62854B94"/>
    <w:rsid w:val="6367429A"/>
    <w:rsid w:val="63B05C41"/>
    <w:rsid w:val="63C4349A"/>
    <w:rsid w:val="6664623E"/>
    <w:rsid w:val="6705550C"/>
    <w:rsid w:val="690D7691"/>
    <w:rsid w:val="6A0D5B9B"/>
    <w:rsid w:val="6A440E91"/>
    <w:rsid w:val="6C691082"/>
    <w:rsid w:val="6CA81BAB"/>
    <w:rsid w:val="6E3A4A84"/>
    <w:rsid w:val="6EFE1F56"/>
    <w:rsid w:val="70C8281B"/>
    <w:rsid w:val="71AD1A11"/>
    <w:rsid w:val="7298621E"/>
    <w:rsid w:val="730E4732"/>
    <w:rsid w:val="74890514"/>
    <w:rsid w:val="753C7334"/>
    <w:rsid w:val="76375D4D"/>
    <w:rsid w:val="78970267"/>
    <w:rsid w:val="78CD30FF"/>
    <w:rsid w:val="796B468C"/>
    <w:rsid w:val="79AA1BD9"/>
    <w:rsid w:val="7A081EDB"/>
    <w:rsid w:val="7A0847C2"/>
    <w:rsid w:val="7A0B5527"/>
    <w:rsid w:val="7B9D2AF7"/>
    <w:rsid w:val="7C907F65"/>
    <w:rsid w:val="7D371085"/>
    <w:rsid w:val="7E77762F"/>
    <w:rsid w:val="7F9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 w:ascii="Times New Roman" w:hAnsi="Times New Roman"/>
      <w:sz w:val="18"/>
      <w:szCs w:val="24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kern w:val="0"/>
      <w:sz w:val="24"/>
      <w:szCs w:val="24"/>
    </w:rPr>
  </w:style>
  <w:style w:type="character" w:styleId="6">
    <w:name w:val="Strong"/>
    <w:basedOn w:val="5"/>
    <w:unhideWhenUsed/>
    <w:qFormat/>
    <w:uiPriority w:val="0"/>
    <w:rPr>
      <w:rFonts w:hint="default" w:ascii="Calibri" w:hAnsi="Calibri" w:eastAsia="宋体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2318</Words>
  <Characters>2415</Characters>
  <Lines>0</Lines>
  <Paragraphs>0</Paragraphs>
  <TotalTime>52</TotalTime>
  <ScaleCrop>false</ScaleCrop>
  <LinksUpToDate>false</LinksUpToDate>
  <CharactersWithSpaces>2466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2025-01-17T02:56:00Z</dcterms:created>
  <dc:creator>Administrator</dc:creator>
  <cp:lastModifiedBy>Administrator</cp:lastModifiedBy>
  <cp:lastPrinted>2025-01-26T03:11:00Z</cp:lastPrinted>
  <dcterms:modified xsi:type="dcterms:W3CDTF">2025-01-26T03:16:04Z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5BE4A861D82642D3B67F9F86377925DB_11</vt:lpwstr>
  </property>
</Properties>
</file>