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</w:rPr>
        <w:t>市经信局202</w:t>
      </w:r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</w:rPr>
        <w:t>年度政府信息公开年度报告</w:t>
      </w:r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31801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04070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根据《大冶市2023年政务公开工作实施方案》文件精神，结合我局工作实际，现向社会公布大冶市经信局2023年政府信息公开工作年度报告。本报告由总体情况、主动公开政府信息情况、依申请公开情况、政府信息公开行政复议和行政诉讼情况、存在的问题及改进情况、其他需要报告的事项六部分及相关数据表格组成。本年度报告的相关数据统计时间为2023年1月1日至2023年12月31日。如对本报告相关数据存在疑问，请与大冶市经济和信息化局办公室联系（地址：大冶市总部经济中心1号楼三区10楼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联系电话：0714—8712472 邮编：435100）</w:t>
      </w:r>
    </w:p>
    <w:p w14:paraId="287CA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一、总体情况</w:t>
      </w:r>
    </w:p>
    <w:p w14:paraId="60C4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市经信局以习近平新时代中国特色社会主义思想为指导，全面贯彻落实党的二十大精神，严格按照新修改的《中华人民共和国政府信息公开条例》（以下简称《条例》）并根据本单位工作实际，结合《条例》规定要求，认真开展全年政府信息公开工作。</w:t>
      </w:r>
    </w:p>
    <w:p w14:paraId="61F7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（一）政府信息主动公开情况。</w:t>
      </w:r>
    </w:p>
    <w:p w14:paraId="1D2F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我局高度重视本单位信息公开工作，深入学习贯彻《政府信息公开条例》，坚持以公开为常态、不公开为例外，遵循公正、公平、合法、便民的原则开展政府信息公开工作。建立健全信息公开工作机制，完善工作制度，确定信息公开的范围和内容，加强信息公开载体建设和监督检查。</w:t>
      </w:r>
    </w:p>
    <w:p w14:paraId="115C3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（二）依申请公开情况。</w:t>
      </w:r>
    </w:p>
    <w:p w14:paraId="112B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2023年，我局未收到依申请公开情况。</w:t>
      </w:r>
    </w:p>
    <w:p w14:paraId="21BB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(三)信息管理情况。</w:t>
      </w:r>
    </w:p>
    <w:p w14:paraId="74F5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我局严格按照《政府信息公开条例》要求;不断完善信息公开工作制度;坚持以公开为原则;以不公开为例外的要求，做到涉密信息不公开,公开信息不涉密。</w:t>
      </w:r>
    </w:p>
    <w:p w14:paraId="47BF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(四)政府信息公开平台建设情况</w:t>
      </w:r>
    </w:p>
    <w:p w14:paraId="3B57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2023年;我局对政府网信息平台的部门信息公开栏目进行了更新完善;设置一级栏目6个、二级栏目13、三级栏目5个，完成各类信息主动公开。</w:t>
      </w:r>
    </w:p>
    <w:p w14:paraId="2F06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(五)监督保障情况</w:t>
      </w:r>
    </w:p>
    <w:p w14:paraId="64F9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根据政务公开工作要求，我局及时完善本单位信息公开工作栏目,压实工作责任,强化工作落实，切实保障政务公开规范。2023年度 ,我局政务公开工作未发生责任追究情况。</w:t>
      </w:r>
    </w:p>
    <w:p w14:paraId="174D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二、主动公开政府信息情况</w:t>
      </w:r>
    </w:p>
    <w:p w14:paraId="2F9B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2023年，我局未制发规章、行政性规范性文件，无行政许可、行政处罚、行政强制、行政事业性收费等事项。</w:t>
      </w:r>
    </w:p>
    <w:tbl>
      <w:tblPr>
        <w:tblStyle w:val="9"/>
        <w:tblW w:w="9016" w:type="dxa"/>
        <w:tblInd w:w="62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2380"/>
        <w:gridCol w:w="2088"/>
        <w:gridCol w:w="2316"/>
        <w:gridCol w:w="2232"/>
      </w:tblGrid>
      <w:tr w14:paraId="4DA2A0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7908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第二十条第（一）项</w:t>
            </w:r>
          </w:p>
        </w:tc>
      </w:tr>
      <w:tr w14:paraId="439FD0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C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制发件数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C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4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现行有效件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数</w:t>
            </w:r>
          </w:p>
        </w:tc>
      </w:tr>
      <w:tr w14:paraId="1CD0D0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规章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0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C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9D0B1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0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C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1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7212C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1E12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第二十条第（五）项</w:t>
            </w:r>
          </w:p>
        </w:tc>
      </w:tr>
      <w:tr w14:paraId="6E6DD8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D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本年处理决定数量</w:t>
            </w:r>
          </w:p>
        </w:tc>
      </w:tr>
      <w:tr w14:paraId="1FD91A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D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5C839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27C5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第二十条第（六）项</w:t>
            </w:r>
          </w:p>
        </w:tc>
      </w:tr>
      <w:tr w14:paraId="712B6F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7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3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本年处理决定数量</w:t>
            </w:r>
          </w:p>
        </w:tc>
      </w:tr>
      <w:tr w14:paraId="4BF7DC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1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 w14:paraId="346024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B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 w14:paraId="02445F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13A3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第二十条第（八）项</w:t>
            </w:r>
          </w:p>
        </w:tc>
      </w:tr>
      <w:tr w14:paraId="567A7C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EF5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F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7A13FB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97" w:hRule="exac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415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9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</w:tbl>
    <w:p w14:paraId="00F5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ascii="仿宋_GB2312" w:eastAsia="仿宋_GB2312"/>
          <w:kern w:val="0"/>
          <w:sz w:val="28"/>
          <w:szCs w:val="28"/>
        </w:rPr>
      </w:pPr>
    </w:p>
    <w:p w14:paraId="796D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三、收到和处理政府信息公开申请情况</w:t>
      </w:r>
    </w:p>
    <w:p w14:paraId="5257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2023年度，没有收到信息公开申请。</w:t>
      </w:r>
    </w:p>
    <w:tbl>
      <w:tblPr>
        <w:tblStyle w:val="9"/>
        <w:tblW w:w="9640" w:type="dxa"/>
        <w:tblInd w:w="-21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640"/>
        <w:gridCol w:w="920"/>
        <w:gridCol w:w="3062"/>
        <w:gridCol w:w="744"/>
        <w:gridCol w:w="636"/>
        <w:gridCol w:w="708"/>
        <w:gridCol w:w="1008"/>
        <w:gridCol w:w="828"/>
        <w:gridCol w:w="636"/>
        <w:gridCol w:w="458"/>
      </w:tblGrid>
      <w:tr w14:paraId="55EC12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44" w:hRule="atLeast"/>
        </w:trPr>
        <w:tc>
          <w:tcPr>
            <w:tcW w:w="46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4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A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申请人情况</w:t>
            </w:r>
          </w:p>
        </w:tc>
      </w:tr>
      <w:tr w14:paraId="3D76C9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60" w:hRule="atLeast"/>
        </w:trPr>
        <w:tc>
          <w:tcPr>
            <w:tcW w:w="46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7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自</w:t>
            </w:r>
          </w:p>
          <w:p w14:paraId="779B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然</w:t>
            </w:r>
          </w:p>
          <w:p w14:paraId="25EC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1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E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总计</w:t>
            </w:r>
          </w:p>
        </w:tc>
      </w:tr>
      <w:tr w14:paraId="6980C4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846" w:hRule="atLeast"/>
        </w:trPr>
        <w:tc>
          <w:tcPr>
            <w:tcW w:w="46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0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商业</w:t>
            </w:r>
          </w:p>
          <w:p w14:paraId="2759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企业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8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科研</w:t>
            </w:r>
          </w:p>
          <w:p w14:paraId="2721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机构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B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6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其他</w:t>
            </w: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085AC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7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2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D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3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5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B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2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F91CD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1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8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4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4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3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A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3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8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39D05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8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D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C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F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4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7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5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8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3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07A2D5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529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D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9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2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A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2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0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3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2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32FF1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422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5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0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A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D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6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C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8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3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1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76CCDD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E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8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0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1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5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9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7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C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3CD81D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A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1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E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2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F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B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3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8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5C0E7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3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D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7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3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F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C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6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8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6CFD71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A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D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3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B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E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E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7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B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2D9021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2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F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6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F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B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2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5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F8775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99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7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F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F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9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F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6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3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80DFA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F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A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D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8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6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3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2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7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43FAA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5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0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C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C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C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2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2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C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B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35268D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D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C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5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0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F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6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5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B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63C6D8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B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D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9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A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B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4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F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9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84DF7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8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2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3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8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7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9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B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6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BB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59FC8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F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9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5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A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E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3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A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7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0AFB07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6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3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3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C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5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9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F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4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7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6160C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E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F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1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9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C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0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A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3C9840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624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8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A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2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9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7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F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7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B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833F1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9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5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4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F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9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D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6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7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C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28225D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F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D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6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C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C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7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B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3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6C400C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D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3.其他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1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5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5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B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3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E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9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C9A15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A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D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B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2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4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4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9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A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018804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A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E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B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A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6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1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2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</w:tbl>
    <w:p w14:paraId="1559B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/>
          <w:kern w:val="0"/>
          <w:sz w:val="28"/>
          <w:szCs w:val="28"/>
        </w:rPr>
      </w:pPr>
    </w:p>
    <w:p w14:paraId="6E07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四、政府信息公开行政复议、行政诉讼情况</w:t>
      </w:r>
    </w:p>
    <w:p w14:paraId="11C8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2023年度，市经信局履行依法应诉职责。全面推进局机关法治建设，坚持依法决策，规范依法决策，规范依法履职，推进依法行政，局机关领导干部法治思维和法治能力进一步提升。</w:t>
      </w:r>
    </w:p>
    <w:p w14:paraId="2FB1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2023年全年没有收到政府信息公开行政复议、行政诉讼情况。</w:t>
      </w:r>
    </w:p>
    <w:p w14:paraId="11EB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kern w:val="0"/>
          <w:sz w:val="28"/>
          <w:szCs w:val="28"/>
        </w:rPr>
      </w:pPr>
    </w:p>
    <w:tbl>
      <w:tblPr>
        <w:tblStyle w:val="9"/>
        <w:tblW w:w="9923" w:type="dxa"/>
        <w:tblInd w:w="-21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695"/>
        <w:gridCol w:w="695"/>
        <w:gridCol w:w="695"/>
        <w:gridCol w:w="695"/>
        <w:gridCol w:w="623"/>
        <w:gridCol w:w="765"/>
        <w:gridCol w:w="694"/>
        <w:gridCol w:w="694"/>
        <w:gridCol w:w="694"/>
        <w:gridCol w:w="413"/>
        <w:gridCol w:w="709"/>
        <w:gridCol w:w="709"/>
        <w:gridCol w:w="708"/>
        <w:gridCol w:w="709"/>
        <w:gridCol w:w="425"/>
      </w:tblGrid>
      <w:tr w14:paraId="742EFB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542" w:hRule="atLeast"/>
        </w:trPr>
        <w:tc>
          <w:tcPr>
            <w:tcW w:w="3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A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2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行政诉讼</w:t>
            </w:r>
          </w:p>
        </w:tc>
      </w:tr>
      <w:tr w14:paraId="3E2B22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C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纠正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F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审结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3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9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8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复议后起诉</w:t>
            </w:r>
          </w:p>
        </w:tc>
      </w:tr>
      <w:tr w14:paraId="4A8ED1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D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维持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9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9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1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审结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3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3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7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F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1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9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总计</w:t>
            </w:r>
          </w:p>
        </w:tc>
      </w:tr>
      <w:tr w14:paraId="2BBF63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5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7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9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F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9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C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F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C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1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E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A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6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C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E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7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</w:tbl>
    <w:p w14:paraId="3463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eastAsia="仿宋_GB2312"/>
          <w:kern w:val="0"/>
          <w:sz w:val="28"/>
          <w:szCs w:val="28"/>
        </w:rPr>
      </w:pPr>
    </w:p>
    <w:p w14:paraId="09A5D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150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五、存在的主要问题及改进情况</w:t>
      </w:r>
    </w:p>
    <w:p w14:paraId="74AB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28"/>
          <w:szCs w:val="28"/>
        </w:rPr>
        <w:t>年我局信息公开工作方面取得了一定的成绩，但也存在一些不足之处1、部分板块信息更新不够及时；2、信息公开的内容不够全面、不够丰富；3、处理信息公开工作的人员综合能力还有待提高。</w:t>
      </w:r>
    </w:p>
    <w:p w14:paraId="4670C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下一步，我局将进一步完善本单位信息公开制度,通过多渠道持续推动政府信息全方位发布；加大推进信息公开内容向深化、细化发展，不断提高工作公开的及时性，丰富信息公开的形式，探索更多与公众互动的方式，以更好地满足公众需求；准确把握政务公开工作职责定位，主动担当作为，全面推进政务公开标准化规范化建设。</w:t>
      </w:r>
    </w:p>
    <w:p w14:paraId="5353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eastAsia="仿宋_GB2312"/>
          <w:kern w:val="0"/>
          <w:sz w:val="28"/>
          <w:szCs w:val="28"/>
        </w:rPr>
      </w:pPr>
    </w:p>
    <w:p w14:paraId="5448E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150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六、其他需要报告的事项</w:t>
      </w:r>
    </w:p>
    <w:p w14:paraId="52D8F25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政府信息费收取情况。根据《政府信息公开信息处理管理办法》规定的收费标准，大冶市经信局2023年度没有产生信息公开处理费。</w:t>
      </w:r>
    </w:p>
    <w:p w14:paraId="548B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15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2023年我局无其他需要报告事项。</w:t>
      </w: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E77D">
    <w:pPr>
      <w:pStyle w:val="4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CgAAAAAAh07iQAAAAAAAAAAA&#10;AAAAAAYAAAAAAAAAAAAQAAAAKwMAAF9yZWxzL1BLAQIUAAoAAAAAAIdO4kAAAAAAAAAAAAAAAAAE&#10;AAAAAAAAAAAAEAAAABYAAABkcnMvUEsBAhQAFAAAAAgAh07iQEqXIvPLAQAAnAMAAA4AAAAAAAAA&#10;AQAgAAAANAEAAGRycy9lMm9Eb2MueG1sUEsBAhQAFAAAAAgAh07iQM6pebnPAAAABQEAAA8AAAAA&#10;AAAAAQAgAAAAOAAAAGRycy9kb3ducmV2LnhtbFBLBQYAAAAABgAGAFkBAABx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02087B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05D"/>
    <w:rsid w:val="00070D15"/>
    <w:rsid w:val="00084F7F"/>
    <w:rsid w:val="001877EA"/>
    <w:rsid w:val="001C2E0D"/>
    <w:rsid w:val="003133EC"/>
    <w:rsid w:val="003E2DE8"/>
    <w:rsid w:val="004239E0"/>
    <w:rsid w:val="004A497F"/>
    <w:rsid w:val="00513809"/>
    <w:rsid w:val="006700D0"/>
    <w:rsid w:val="007328A7"/>
    <w:rsid w:val="00763581"/>
    <w:rsid w:val="008E76E8"/>
    <w:rsid w:val="00934C1F"/>
    <w:rsid w:val="00980CE1"/>
    <w:rsid w:val="00996F4E"/>
    <w:rsid w:val="00A6490D"/>
    <w:rsid w:val="00BD52F7"/>
    <w:rsid w:val="00BD68AF"/>
    <w:rsid w:val="00C10FC3"/>
    <w:rsid w:val="00C265DB"/>
    <w:rsid w:val="00D213CD"/>
    <w:rsid w:val="00D359BB"/>
    <w:rsid w:val="00DF6425"/>
    <w:rsid w:val="00E60145"/>
    <w:rsid w:val="00E7562A"/>
    <w:rsid w:val="00EA105D"/>
    <w:rsid w:val="00EE06CB"/>
    <w:rsid w:val="00EF1ED7"/>
    <w:rsid w:val="00F275EF"/>
    <w:rsid w:val="00F66461"/>
    <w:rsid w:val="00FF7D3A"/>
    <w:rsid w:val="01762172"/>
    <w:rsid w:val="0221260B"/>
    <w:rsid w:val="05DF20B2"/>
    <w:rsid w:val="0B8B47FB"/>
    <w:rsid w:val="0CA0505F"/>
    <w:rsid w:val="1000655F"/>
    <w:rsid w:val="12FA387A"/>
    <w:rsid w:val="13C540FC"/>
    <w:rsid w:val="146B2026"/>
    <w:rsid w:val="15E467C0"/>
    <w:rsid w:val="1DAA72BB"/>
    <w:rsid w:val="1F6F7E08"/>
    <w:rsid w:val="1FB3868A"/>
    <w:rsid w:val="2431266C"/>
    <w:rsid w:val="245074C0"/>
    <w:rsid w:val="25396722"/>
    <w:rsid w:val="254C40BE"/>
    <w:rsid w:val="273C266F"/>
    <w:rsid w:val="2B72661D"/>
    <w:rsid w:val="32F1725D"/>
    <w:rsid w:val="3A765D55"/>
    <w:rsid w:val="3B0527E0"/>
    <w:rsid w:val="3FFE839D"/>
    <w:rsid w:val="40B83F4C"/>
    <w:rsid w:val="42A31B69"/>
    <w:rsid w:val="42FA4DFB"/>
    <w:rsid w:val="45547946"/>
    <w:rsid w:val="459270B2"/>
    <w:rsid w:val="49B61780"/>
    <w:rsid w:val="4B15553F"/>
    <w:rsid w:val="4DE8F626"/>
    <w:rsid w:val="4F40468F"/>
    <w:rsid w:val="52611934"/>
    <w:rsid w:val="52FA3DDC"/>
    <w:rsid w:val="53FD9A08"/>
    <w:rsid w:val="57084CC6"/>
    <w:rsid w:val="57AA6963"/>
    <w:rsid w:val="57FB32A0"/>
    <w:rsid w:val="5ED8702A"/>
    <w:rsid w:val="62960F11"/>
    <w:rsid w:val="637A12C2"/>
    <w:rsid w:val="67FBD543"/>
    <w:rsid w:val="6CCB67A3"/>
    <w:rsid w:val="6F904DE6"/>
    <w:rsid w:val="6FFD69EE"/>
    <w:rsid w:val="73054CC1"/>
    <w:rsid w:val="759A017D"/>
    <w:rsid w:val="76A267B1"/>
    <w:rsid w:val="77C60FCB"/>
    <w:rsid w:val="7E296B9F"/>
    <w:rsid w:val="7E97A927"/>
    <w:rsid w:val="7FFF2C61"/>
    <w:rsid w:val="7FFF3797"/>
    <w:rsid w:val="BFD468E7"/>
    <w:rsid w:val="CBD7E07C"/>
    <w:rsid w:val="D7952131"/>
    <w:rsid w:val="D7EF91B2"/>
    <w:rsid w:val="DFCF5939"/>
    <w:rsid w:val="EBDE9A49"/>
    <w:rsid w:val="FBB551D7"/>
    <w:rsid w:val="FF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spacing w:line="560" w:lineRule="exact"/>
      <w:ind w:firstLine="420"/>
    </w:pPr>
    <w:rPr>
      <w:rFonts w:ascii="Times New Roman" w:hAnsi="Times New Roman"/>
      <w:szCs w:val="20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rFonts w:cs="Times New Roman"/>
      <w:b/>
    </w:rPr>
  </w:style>
  <w:style w:type="paragraph" w:customStyle="1" w:styleId="13">
    <w:name w:val="正文文字"/>
    <w:basedOn w:val="7"/>
    <w:next w:val="1"/>
    <w:qFormat/>
    <w:uiPriority w:val="99"/>
    <w:pPr>
      <w:ind w:firstLine="200"/>
    </w:pPr>
    <w:rPr>
      <w:rFonts w:ascii="仿宋_GB2312" w:eastAsia="仿宋_GB2312" w:cs="仿宋_GB2312"/>
    </w:rPr>
  </w:style>
  <w:style w:type="paragraph" w:customStyle="1" w:styleId="14">
    <w:name w:val="正文首行缩进 21"/>
    <w:basedOn w:val="15"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16">
    <w:name w:val="Body Text First Indent 21"/>
    <w:basedOn w:val="17"/>
    <w:qFormat/>
    <w:uiPriority w:val="0"/>
    <w:pPr>
      <w:ind w:left="420" w:leftChars="200" w:firstLine="420" w:firstLineChars="200"/>
    </w:pPr>
    <w:rPr>
      <w:rFonts w:ascii="Times New Roman" w:hAnsi="Times New Roman"/>
      <w:szCs w:val="20"/>
    </w:rPr>
  </w:style>
  <w:style w:type="paragraph" w:customStyle="1" w:styleId="17">
    <w:name w:val="Body Text Indent1"/>
    <w:basedOn w:val="1"/>
    <w:qFormat/>
    <w:uiPriority w:val="0"/>
    <w:pPr>
      <w:ind w:firstLine="660"/>
    </w:pPr>
    <w:rPr>
      <w:rFonts w:ascii="楷体_GB2312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\&#32463;&#20449;&#23616;&#21150;&#20844;&#23460;&#25991;&#20214;\&#21150;&#20844;&#23460;\&#25919;&#21153;&#20844;&#24320;\&#20449;&#24687;&#20844;&#24320;&#24180;&#25253;\&#24066;&#32463;&#20449;&#23616;2023&#24180;&#25919;&#24220;&#20449;&#24687;&#20844;&#24320;&#24037;&#20316;&#24180;&#24230;&#25253;&#2157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市经信局2023年政府信息公开工作年度报告</Template>
  <Company>Www.SangSan.Cn</Company>
  <Pages>4</Pages>
  <Words>1046</Words>
  <Characters>1104</Characters>
  <Lines>18</Lines>
  <Paragraphs>5</Paragraphs>
  <TotalTime>10</TotalTime>
  <ScaleCrop>false</ScaleCrop>
  <LinksUpToDate>false</LinksUpToDate>
  <CharactersWithSpaces>1116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2024-12-26T02:06:00Z</dcterms:created>
  <dc:creator>桑三博客</dc:creator>
  <cp:lastModifiedBy>ZzhuRui</cp:lastModifiedBy>
  <cp:lastPrinted>2023-03-21T10:42:00Z</cp:lastPrinted>
  <dcterms:modified xsi:type="dcterms:W3CDTF">2025-12-22T08:34:58Z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CE2C8DDD70D0EC7421FE186444092673</vt:lpwstr>
  </property>
  <property fmtid="{D5CDD505-2E9C-101B-9397-08002B2CF9AE}" pid="4" name="KSOTemplateDocerSaveRecord">
    <vt:lpwstr>eyJoZGlkIjoiYTI3MGRhMTc2NzRiMmFjMmNlNDgwZjg4YjRiYmZlOTIiLCJ1c2VySWQiOiI1MjEwMDc1NzgifQ==</vt:lpwstr>
  </property>
</Properties>
</file>