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069B5">
      <w:pPr>
        <w:pStyle w:val="4"/>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snapToGrid w:val="0"/>
          <w:color w:val="000000" w:themeColor="text1"/>
          <w:kern w:val="0"/>
          <w:sz w:val="44"/>
          <w:szCs w:val="44"/>
          <w:lang w:eastAsia="zh-CN"/>
          <w14:textFill>
            <w14:solidFill>
              <w14:schemeClr w14:val="tx1"/>
            </w14:solidFill>
          </w14:textFill>
        </w:rPr>
        <w:t>大冶</w:t>
      </w:r>
      <w: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t>市城市管理领域“预防为主、注重服务”涉企行政执法指导清单</w:t>
      </w:r>
    </w:p>
    <w:bookmarkEnd w:id="0"/>
    <w:tbl>
      <w:tblPr>
        <w:tblStyle w:val="13"/>
        <w:tblpPr w:leftFromText="180" w:rightFromText="180" w:vertAnchor="text" w:horzAnchor="page" w:tblpX="1844" w:tblpY="171"/>
        <w:tblOverlap w:val="never"/>
        <w:tblW w:w="1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32"/>
        <w:gridCol w:w="2413"/>
        <w:gridCol w:w="8046"/>
        <w:gridCol w:w="668"/>
        <w:gridCol w:w="5114"/>
        <w:gridCol w:w="1732"/>
      </w:tblGrid>
      <w:tr w14:paraId="6F9D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86" w:type="dxa"/>
            <w:vAlign w:val="center"/>
          </w:tcPr>
          <w:p w14:paraId="27F95E28">
            <w:pPr>
              <w:keepNext w:val="0"/>
              <w:keepLines w:val="0"/>
              <w:pageBreakBefore w:val="0"/>
              <w:widowControl w:val="0"/>
              <w:wordWrap/>
              <w:overflowPunct w:val="0"/>
              <w:autoSpaceDE w:val="0"/>
              <w:autoSpaceDN w:val="0"/>
              <w:bidi w:val="0"/>
              <w:spacing w:line="300" w:lineRule="exac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序号</w:t>
            </w:r>
          </w:p>
        </w:tc>
        <w:tc>
          <w:tcPr>
            <w:tcW w:w="1432" w:type="dxa"/>
            <w:vAlign w:val="center"/>
          </w:tcPr>
          <w:p w14:paraId="4EF7FA66">
            <w:pPr>
              <w:keepNext w:val="0"/>
              <w:keepLines w:val="0"/>
              <w:pageBreakBefore w:val="0"/>
              <w:widowControl w:val="0"/>
              <w:wordWrap/>
              <w:overflowPunct w:val="0"/>
              <w:autoSpaceDE w:val="0"/>
              <w:autoSpaceDN w:val="0"/>
              <w:bidi w:val="0"/>
              <w:spacing w:line="300" w:lineRule="exac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lang w:eastAsia="zh-CN"/>
              </w:rPr>
              <w:t>指导</w:t>
            </w:r>
            <w:r>
              <w:rPr>
                <w:rFonts w:hint="eastAsia" w:ascii="黑体" w:hAnsi="黑体" w:eastAsia="黑体" w:cs="黑体"/>
                <w:sz w:val="18"/>
                <w:szCs w:val="18"/>
              </w:rPr>
              <w:t>事项</w:t>
            </w:r>
          </w:p>
        </w:tc>
        <w:tc>
          <w:tcPr>
            <w:tcW w:w="2413" w:type="dxa"/>
            <w:vAlign w:val="center"/>
          </w:tcPr>
          <w:p w14:paraId="7755B68E">
            <w:pPr>
              <w:keepNext w:val="0"/>
              <w:keepLines w:val="0"/>
              <w:pageBreakBefore w:val="0"/>
              <w:widowControl w:val="0"/>
              <w:wordWrap/>
              <w:overflowPunct w:val="0"/>
              <w:autoSpaceDE w:val="0"/>
              <w:autoSpaceDN w:val="0"/>
              <w:bidi w:val="0"/>
              <w:spacing w:line="300" w:lineRule="exac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常见违法行为表现</w:t>
            </w:r>
          </w:p>
        </w:tc>
        <w:tc>
          <w:tcPr>
            <w:tcW w:w="8046" w:type="dxa"/>
            <w:vAlign w:val="center"/>
          </w:tcPr>
          <w:p w14:paraId="0F22348F">
            <w:pPr>
              <w:keepNext w:val="0"/>
              <w:keepLines w:val="0"/>
              <w:pageBreakBefore w:val="0"/>
              <w:widowControl w:val="0"/>
              <w:wordWrap/>
              <w:overflowPunct w:val="0"/>
              <w:autoSpaceDE w:val="0"/>
              <w:autoSpaceDN w:val="0"/>
              <w:bidi w:val="0"/>
              <w:spacing w:line="300" w:lineRule="exac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法律依据及违法责任</w:t>
            </w:r>
          </w:p>
        </w:tc>
        <w:tc>
          <w:tcPr>
            <w:tcW w:w="668" w:type="dxa"/>
            <w:vAlign w:val="center"/>
          </w:tcPr>
          <w:p w14:paraId="6DC918D0">
            <w:pPr>
              <w:keepNext w:val="0"/>
              <w:keepLines w:val="0"/>
              <w:pageBreakBefore w:val="0"/>
              <w:widowControl w:val="0"/>
              <w:wordWrap/>
              <w:overflowPunct w:val="0"/>
              <w:autoSpaceDE w:val="0"/>
              <w:autoSpaceDN w:val="0"/>
              <w:bidi w:val="0"/>
              <w:spacing w:line="300" w:lineRule="exac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发生频率</w:t>
            </w:r>
          </w:p>
        </w:tc>
        <w:tc>
          <w:tcPr>
            <w:tcW w:w="5114" w:type="dxa"/>
            <w:vAlign w:val="center"/>
          </w:tcPr>
          <w:p w14:paraId="18D8CCC1">
            <w:pPr>
              <w:keepNext w:val="0"/>
              <w:keepLines w:val="0"/>
              <w:pageBreakBefore w:val="0"/>
              <w:widowControl w:val="0"/>
              <w:wordWrap/>
              <w:overflowPunct w:val="0"/>
              <w:autoSpaceDE w:val="0"/>
              <w:autoSpaceDN w:val="0"/>
              <w:bidi w:val="0"/>
              <w:spacing w:line="300" w:lineRule="exac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建议</w:t>
            </w:r>
          </w:p>
        </w:tc>
        <w:tc>
          <w:tcPr>
            <w:tcW w:w="1732" w:type="dxa"/>
            <w:vAlign w:val="center"/>
          </w:tcPr>
          <w:p w14:paraId="5792AB8C">
            <w:pPr>
              <w:keepNext w:val="0"/>
              <w:keepLines w:val="0"/>
              <w:pageBreakBefore w:val="0"/>
              <w:widowControl w:val="0"/>
              <w:wordWrap/>
              <w:overflowPunct w:val="0"/>
              <w:autoSpaceDE w:val="0"/>
              <w:autoSpaceDN w:val="0"/>
              <w:bidi w:val="0"/>
              <w:spacing w:line="30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rPr>
              <w:t>指导部门</w:t>
            </w:r>
          </w:p>
          <w:p w14:paraId="44AEB73C">
            <w:pPr>
              <w:keepNext w:val="0"/>
              <w:keepLines w:val="0"/>
              <w:pageBreakBefore w:val="0"/>
              <w:widowControl w:val="0"/>
              <w:wordWrap/>
              <w:overflowPunct w:val="0"/>
              <w:autoSpaceDE w:val="0"/>
              <w:autoSpaceDN w:val="0"/>
              <w:bidi w:val="0"/>
              <w:spacing w:line="300" w:lineRule="exac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（机构/</w:t>
            </w:r>
            <w:r>
              <w:rPr>
                <w:rFonts w:hint="eastAsia" w:ascii="黑体" w:hAnsi="黑体" w:eastAsia="黑体" w:cs="黑体"/>
                <w:sz w:val="18"/>
                <w:szCs w:val="18"/>
                <w:lang w:eastAsia="zh-CN"/>
              </w:rPr>
              <w:t>股</w:t>
            </w:r>
            <w:r>
              <w:rPr>
                <w:rFonts w:hint="eastAsia" w:ascii="黑体" w:hAnsi="黑体" w:eastAsia="黑体" w:cs="黑体"/>
                <w:sz w:val="18"/>
                <w:szCs w:val="18"/>
              </w:rPr>
              <w:t>室）</w:t>
            </w:r>
          </w:p>
        </w:tc>
      </w:tr>
      <w:tr w14:paraId="1A9C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6" w:type="dxa"/>
            <w:vAlign w:val="center"/>
          </w:tcPr>
          <w:p w14:paraId="438F9A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w:t>
            </w:r>
          </w:p>
        </w:tc>
        <w:tc>
          <w:tcPr>
            <w:tcW w:w="1432" w:type="dxa"/>
            <w:vAlign w:val="center"/>
          </w:tcPr>
          <w:p w14:paraId="33359F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生活垃圾密闭运输</w:t>
            </w:r>
          </w:p>
        </w:tc>
        <w:tc>
          <w:tcPr>
            <w:tcW w:w="2413" w:type="dxa"/>
            <w:vAlign w:val="center"/>
          </w:tcPr>
          <w:p w14:paraId="4948BC0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1.生活垃圾运输单位在运输过程中沿途丢弃生活垃圾；</w:t>
            </w:r>
          </w:p>
          <w:p w14:paraId="34BCC4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2.生活垃圾运输单位在运输过程中遗撒生活垃圾。</w:t>
            </w:r>
          </w:p>
        </w:tc>
        <w:tc>
          <w:tcPr>
            <w:tcW w:w="8046" w:type="dxa"/>
            <w:vAlign w:val="center"/>
          </w:tcPr>
          <w:p w14:paraId="1DB7E83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【规章】《城市生活垃圾管理办法》</w:t>
            </w:r>
          </w:p>
          <w:p w14:paraId="58037E1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第二十一条 从事城市生活垃圾经营性清扫、收集、运输的企业，禁止实施下列行为： </w:t>
            </w:r>
          </w:p>
          <w:p w14:paraId="10B10E3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（三）在运输过程中沿途丢弃、遗撒生活垃圾。 </w:t>
            </w:r>
          </w:p>
          <w:p w14:paraId="2B63643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668" w:type="dxa"/>
            <w:vAlign w:val="center"/>
          </w:tcPr>
          <w:p w14:paraId="1556D5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4" w:type="dxa"/>
            <w:vAlign w:val="center"/>
          </w:tcPr>
          <w:p w14:paraId="2CEBFAF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1.生活垃圾运输单位要加强对运输车辆的管理，改造更换不符合规范的运输车辆，确保车辆具备防渗漏、防遗撒、防臭功能，实行全程运输密闭化；</w:t>
            </w:r>
          </w:p>
          <w:p w14:paraId="6BE3A67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2.生活垃圾运输单位要加强车辆日常维保，按车辆例行保养常规项目定期维护、检修，确保车况良好，密闭运输，安全运行；</w:t>
            </w:r>
          </w:p>
          <w:p w14:paraId="731DC4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3.生活垃圾运输单位应按规范进行生活垃圾运输作业，作业人员在车辆运输生活垃圾时需检查污水排放阀、导流槽等污水收集装置，确保全程密闭运输。</w:t>
            </w:r>
          </w:p>
        </w:tc>
        <w:tc>
          <w:tcPr>
            <w:tcW w:w="1732" w:type="dxa"/>
            <w:vAlign w:val="center"/>
          </w:tcPr>
          <w:p w14:paraId="1033DF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市容环卫股</w:t>
            </w:r>
          </w:p>
          <w:p w14:paraId="21353E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环境卫生管理局</w:t>
            </w:r>
          </w:p>
        </w:tc>
      </w:tr>
      <w:tr w14:paraId="6AAF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trPr>
        <w:tc>
          <w:tcPr>
            <w:tcW w:w="586" w:type="dxa"/>
            <w:vAlign w:val="center"/>
          </w:tcPr>
          <w:p w14:paraId="0916AD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2</w:t>
            </w:r>
          </w:p>
        </w:tc>
        <w:tc>
          <w:tcPr>
            <w:tcW w:w="1432" w:type="dxa"/>
            <w:vAlign w:val="center"/>
          </w:tcPr>
          <w:p w14:paraId="55860F1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建筑垃圾运输全过程</w:t>
            </w:r>
          </w:p>
        </w:tc>
        <w:tc>
          <w:tcPr>
            <w:tcW w:w="2413" w:type="dxa"/>
            <w:vAlign w:val="center"/>
          </w:tcPr>
          <w:p w14:paraId="0CA34D8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1.运输建筑垃圾的车辆未按照规定的时间、路线、密闭方式运输；</w:t>
            </w:r>
          </w:p>
          <w:p w14:paraId="5C506CF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2.未将建筑垃圾运送到指定场地处置；</w:t>
            </w:r>
          </w:p>
          <w:p w14:paraId="7FCC372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3.车轮带泥行驶污染路面或者沿途遗洒、飘散建筑垃圾的。</w:t>
            </w:r>
          </w:p>
        </w:tc>
        <w:tc>
          <w:tcPr>
            <w:tcW w:w="8046" w:type="dxa"/>
            <w:vAlign w:val="center"/>
          </w:tcPr>
          <w:p w14:paraId="3551902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【部门规章】《城市建筑垃圾管理规定》</w:t>
            </w:r>
          </w:p>
          <w:p w14:paraId="6121B6F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第九条 任何单位和个人不得将建筑垃圾混入生活垃圾，不得将危险废物混入建筑垃圾，不得擅自设立弃置场受纳建筑垃圾。</w:t>
            </w:r>
          </w:p>
          <w:p w14:paraId="6175D38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第十四条 处置建筑垃圾的单位在运输建筑垃圾时，应当随车携带建筑垃圾处置核准文件，按照城市人民政府有关部门规定的运输路线、时间运行，不得丢弃、遗撒建筑垃圾，不得超出核准范围承运建筑垃圾。</w:t>
            </w:r>
          </w:p>
          <w:p w14:paraId="618C578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第十五条 任何单位和个人不得随意倾倒、抛撒或者堆放建筑垃圾。</w:t>
            </w:r>
          </w:p>
          <w:p w14:paraId="7A19E1E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第十七条 任何单位和个人不得在街道两侧和公共场地堆放物料。因建设等特殊需要，确需临时占用街道两侧和公共场地堆放物料的，应当征得城市人民政府市容环境卫生主管部门同意后，按照有关规定办理审批手续。</w:t>
            </w:r>
          </w:p>
          <w:p w14:paraId="44878DC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第二十条 任何单位和个人有下列情形之一的，由城市人民政府市容环境卫生主管部门责令限期改正，给予警告，处以罚款：</w:t>
            </w:r>
          </w:p>
          <w:p w14:paraId="71DAFF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（一）将建筑垃圾混入生活垃圾的；</w:t>
            </w:r>
          </w:p>
          <w:p w14:paraId="11035E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（二）将危险废物混入建筑垃圾的；</w:t>
            </w:r>
          </w:p>
          <w:p w14:paraId="35D3162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（三）擅自设立弃置场受纳建筑垃圾的；</w:t>
            </w:r>
          </w:p>
          <w:p w14:paraId="694A74B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单位有前款第一项、第二项行为之一的，处300O元以下罚款；有前款第三项行为的，处5000元以上1万元以下罚款。个人有前款第一项、第二项行为之一的，处20O元以下罚款；有前款第三项行为的，处3000元以下罚款。</w:t>
            </w:r>
          </w:p>
          <w:p w14:paraId="7E3ABC1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第二十三条 处置建筑垃圾的单位在运输建筑垃圾过程中沿途丢弃、遗撒建筑垃圾的，由城市人民政府市容环境卫生主管部门责令限期改正，给予警告，处5000元以上5万元以下罚款。</w:t>
            </w:r>
          </w:p>
          <w:p w14:paraId="16556D1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第二十六条 任何单位和个人随意倾倒、抛撒或者堆放建筑垃圾的，由城市人民政府市容环境卫生主管部门责令限期改正，给予警告，并对单位处5000元以上5万元以下罚款，对个人处200元以下罚款。</w:t>
            </w:r>
          </w:p>
        </w:tc>
        <w:tc>
          <w:tcPr>
            <w:tcW w:w="668" w:type="dxa"/>
            <w:vAlign w:val="center"/>
          </w:tcPr>
          <w:p w14:paraId="789382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p>
          <w:p w14:paraId="0B9181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4" w:type="dxa"/>
            <w:vAlign w:val="center"/>
          </w:tcPr>
          <w:p w14:paraId="3DED87D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运输车辆必须确保标识清晰、车体干净整洁，顶灯和密闭设备完整并得到有效使用；运输车辆必须冲洗干净、密闭严实，杜绝车轮带泥上路以及抛撒滴漏等行为；制定严格的安全生产考核制度，加强对驾驶人员的安全教育和培训。</w:t>
            </w:r>
          </w:p>
          <w:p w14:paraId="48FBD09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2、严格落实建筑垃圾运输备案审批制度，建筑垃圾运输做到一计划一申请，申请内容包括项目工地名称、项目地点、运输时间、运输路线、消纳地点、参与运输车辆台数、现场负责人。未经审批严禁从事建筑垃圾运输作业。</w:t>
            </w:r>
          </w:p>
          <w:p w14:paraId="1C76B2B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p>
        </w:tc>
        <w:tc>
          <w:tcPr>
            <w:tcW w:w="1732" w:type="dxa"/>
            <w:vAlign w:val="center"/>
          </w:tcPr>
          <w:p w14:paraId="77655D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市容环卫股</w:t>
            </w:r>
          </w:p>
          <w:p w14:paraId="2C3A1F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渣土管理处</w:t>
            </w:r>
          </w:p>
        </w:tc>
      </w:tr>
    </w:tbl>
    <w:p w14:paraId="4963E8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br w:type="page"/>
      </w:r>
    </w:p>
    <w:tbl>
      <w:tblPr>
        <w:tblStyle w:val="13"/>
        <w:tblpPr w:leftFromText="180" w:rightFromText="180" w:vertAnchor="text" w:horzAnchor="page" w:tblpX="1844" w:tblpY="1"/>
        <w:tblOverlap w:val="never"/>
        <w:tblW w:w="1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32"/>
        <w:gridCol w:w="1963"/>
        <w:gridCol w:w="8496"/>
        <w:gridCol w:w="668"/>
        <w:gridCol w:w="5114"/>
        <w:gridCol w:w="1732"/>
      </w:tblGrid>
      <w:tr w14:paraId="151C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586" w:type="dxa"/>
            <w:vAlign w:val="center"/>
          </w:tcPr>
          <w:p w14:paraId="74F3B0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3</w:t>
            </w:r>
          </w:p>
        </w:tc>
        <w:tc>
          <w:tcPr>
            <w:tcW w:w="1432" w:type="dxa"/>
            <w:vAlign w:val="center"/>
          </w:tcPr>
          <w:p w14:paraId="299C267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建筑垃圾处置核准</w:t>
            </w:r>
          </w:p>
        </w:tc>
        <w:tc>
          <w:tcPr>
            <w:tcW w:w="1963" w:type="dxa"/>
            <w:vAlign w:val="center"/>
          </w:tcPr>
          <w:p w14:paraId="6CFDA4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建设单位未经核准擅自处置建筑垃圾</w:t>
            </w:r>
          </w:p>
        </w:tc>
        <w:tc>
          <w:tcPr>
            <w:tcW w:w="8496" w:type="dxa"/>
            <w:vAlign w:val="center"/>
          </w:tcPr>
          <w:p w14:paraId="51A5CE1F">
            <w:pPr>
              <w:pStyle w:val="4"/>
              <w:keepNext w:val="0"/>
              <w:keepLines w:val="0"/>
              <w:pageBreakBefore w:val="0"/>
              <w:widowControl w:val="0"/>
              <w:kinsoku/>
              <w:wordWrap/>
              <w:overflowPunct w:val="0"/>
              <w:topLinePunct/>
              <w:autoSpaceDE/>
              <w:autoSpaceDN/>
              <w:bidi w:val="0"/>
              <w:adjustRightInd w:val="0"/>
              <w:snapToGrid w:val="0"/>
              <w:spacing w:line="300" w:lineRule="exact"/>
              <w:jc w:val="both"/>
              <w:textAlignment w:val="baseline"/>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【部门规章】《城市建筑垃圾管理规定》</w:t>
            </w:r>
          </w:p>
          <w:p w14:paraId="35C9946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00" w:lineRule="exact"/>
              <w:ind w:right="0"/>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第七条 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14:paraId="55EE22BF">
            <w:pPr>
              <w:pStyle w:val="4"/>
              <w:keepNext w:val="0"/>
              <w:keepLines w:val="0"/>
              <w:pageBreakBefore w:val="0"/>
              <w:widowControl w:val="0"/>
              <w:kinsoku/>
              <w:wordWrap/>
              <w:overflowPunct w:val="0"/>
              <w:topLinePunct/>
              <w:autoSpaceDE/>
              <w:autoSpaceDN/>
              <w:bidi w:val="0"/>
              <w:adjustRightInd w:val="0"/>
              <w:snapToGrid w:val="0"/>
              <w:spacing w:line="300" w:lineRule="exact"/>
              <w:jc w:val="both"/>
              <w:textAlignment w:val="baseline"/>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第二十五条</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 </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违反本规定，有下列情形之一的，由城市人民政府市容环境卫生主管部门责令限期改正，给予警告，对施工单位处 1万元以上10万元以下罚款，对建设单位、运输建筑垃圾的单位处5000元以上3万元以下罚款：</w:t>
            </w:r>
          </w:p>
          <w:p w14:paraId="408E2F06">
            <w:pPr>
              <w:pStyle w:val="4"/>
              <w:keepNext w:val="0"/>
              <w:keepLines w:val="0"/>
              <w:pageBreakBefore w:val="0"/>
              <w:widowControl w:val="0"/>
              <w:kinsoku/>
              <w:wordWrap/>
              <w:overflowPunct w:val="0"/>
              <w:topLinePunct/>
              <w:autoSpaceDE/>
              <w:autoSpaceDN/>
              <w:bidi w:val="0"/>
              <w:adjustRightInd w:val="0"/>
              <w:snapToGrid w:val="0"/>
              <w:spacing w:line="300" w:lineRule="exact"/>
              <w:jc w:val="both"/>
              <w:textAlignment w:val="baseline"/>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（一）未经核准擅自处置建筑垃圾的；</w:t>
            </w:r>
          </w:p>
        </w:tc>
        <w:tc>
          <w:tcPr>
            <w:tcW w:w="668" w:type="dxa"/>
            <w:vAlign w:val="center"/>
          </w:tcPr>
          <w:p w14:paraId="4AF4A3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4" w:type="dxa"/>
            <w:vAlign w:val="center"/>
          </w:tcPr>
          <w:p w14:paraId="58D9689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建筑垃圾产生单位申请建筑垃圾处置核准应当提供下列资</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 xml:space="preserve">料： </w:t>
            </w:r>
          </w:p>
          <w:p w14:paraId="6258847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 xml:space="preserve">（一）建筑垃圾处置核准申报表； </w:t>
            </w:r>
          </w:p>
          <w:p w14:paraId="1F9A0C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 xml:space="preserve">（二）建筑垃圾处置方案； </w:t>
            </w:r>
          </w:p>
          <w:p w14:paraId="639AF80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 xml:space="preserve">（三）与符合规定的建筑垃圾运输单位签订的运输合同； </w:t>
            </w:r>
          </w:p>
          <w:p w14:paraId="1169D5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 xml:space="preserve">（四）建设工程规划许可证、房屋拆除等相关审批文件； </w:t>
            </w:r>
          </w:p>
          <w:p w14:paraId="54872B4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（五）建筑垃圾消纳场的土地用途证明</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p w14:paraId="5925A7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p>
        </w:tc>
        <w:tc>
          <w:tcPr>
            <w:tcW w:w="1732" w:type="dxa"/>
            <w:vAlign w:val="center"/>
          </w:tcPr>
          <w:p w14:paraId="33CFAE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市容环卫股</w:t>
            </w:r>
          </w:p>
          <w:p w14:paraId="0954F0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渣土管理处</w:t>
            </w:r>
          </w:p>
        </w:tc>
      </w:tr>
      <w:tr w14:paraId="4A90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586" w:type="dxa"/>
            <w:vAlign w:val="center"/>
          </w:tcPr>
          <w:p w14:paraId="46335C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4</w:t>
            </w:r>
          </w:p>
        </w:tc>
        <w:tc>
          <w:tcPr>
            <w:tcW w:w="1432" w:type="dxa"/>
            <w:vAlign w:val="center"/>
          </w:tcPr>
          <w:p w14:paraId="745017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eastAsia="zh-CN" w:bidi="ar-SA"/>
              </w:rPr>
              <w:t>餐厨废弃物</w:t>
            </w:r>
            <w:r>
              <w:rPr>
                <w:rFonts w:hint="eastAsia" w:asciiTheme="minorEastAsia" w:hAnsiTheme="minorEastAsia" w:eastAsiaTheme="minorEastAsia" w:cstheme="minorEastAsia"/>
                <w:i w:val="0"/>
                <w:snapToGrid/>
                <w:color w:val="auto"/>
                <w:kern w:val="2"/>
                <w:sz w:val="21"/>
                <w:szCs w:val="21"/>
                <w:highlight w:val="none"/>
                <w:u w:val="none"/>
                <w:lang w:eastAsia="zh-CN" w:bidi="ar-SA"/>
              </w:rPr>
              <w:t>密闭运输</w:t>
            </w:r>
            <w:r>
              <w:rPr>
                <w:rFonts w:hint="default" w:asciiTheme="minorEastAsia" w:hAnsiTheme="minorEastAsia" w:eastAsiaTheme="minorEastAsia" w:cstheme="minorEastAsia"/>
                <w:i w:val="0"/>
                <w:snapToGrid/>
                <w:color w:val="auto"/>
                <w:kern w:val="2"/>
                <w:sz w:val="21"/>
                <w:szCs w:val="21"/>
                <w:highlight w:val="none"/>
                <w:u w:val="none"/>
                <w:lang w:eastAsia="zh-CN" w:bidi="ar-SA"/>
              </w:rPr>
              <w:t>管理</w:t>
            </w:r>
          </w:p>
        </w:tc>
        <w:tc>
          <w:tcPr>
            <w:tcW w:w="1963" w:type="dxa"/>
            <w:vAlign w:val="center"/>
          </w:tcPr>
          <w:p w14:paraId="1736931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从事餐厨废弃物运输服务的企业，在运输过程中随意倾倒、遗洒、丢弃餐厨废弃物</w:t>
            </w:r>
          </w:p>
        </w:tc>
        <w:tc>
          <w:tcPr>
            <w:tcW w:w="8496" w:type="dxa"/>
            <w:vAlign w:val="center"/>
          </w:tcPr>
          <w:p w14:paraId="6DFD3DB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【地方性法规】《湖北省餐厨垃圾管理办法》</w:t>
            </w:r>
          </w:p>
          <w:p w14:paraId="6DB0C8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第三条 餐厨垃圾管理遵循减量化、资源化、无害化原则，实行单独投放、统一收集、专业运输、集中处置。</w:t>
            </w:r>
          </w:p>
          <w:p w14:paraId="496D06C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第六条 餐厨垃圾属于生活垃圾，依法实行垃圾排放收费制度。</w:t>
            </w:r>
          </w:p>
          <w:p w14:paraId="12A9F11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第八条 餐厨垃圾产生单位应当设置符合标准的餐厨垃圾专用收集容器，将餐厨垃圾与非餐厨垃圾分类收集、单独存放，并保持收集容器完好、密闭及周边环境干净整洁。</w:t>
            </w:r>
          </w:p>
          <w:p w14:paraId="150B007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第九条 餐厨垃圾产生单位应当建立餐厨垃圾产生台账，详细记录餐厨垃圾的种类、数量、去向等信息。</w:t>
            </w:r>
          </w:p>
          <w:p w14:paraId="44DB9087">
            <w:pPr>
              <w:pStyle w:val="4"/>
              <w:keepNext w:val="0"/>
              <w:keepLines w:val="0"/>
              <w:pageBreakBefore w:val="0"/>
              <w:widowControl w:val="0"/>
              <w:kinsoku/>
              <w:wordWrap/>
              <w:overflowPunct w:val="0"/>
              <w:topLinePunct/>
              <w:autoSpaceDE/>
              <w:autoSpaceDN/>
              <w:bidi w:val="0"/>
              <w:adjustRightInd w:val="0"/>
              <w:snapToGrid w:val="0"/>
              <w:spacing w:line="300" w:lineRule="exact"/>
              <w:jc w:val="both"/>
              <w:textAlignment w:val="baseline"/>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第十三条 用于收集、运输餐厨垃圾的车辆应当为全密闭式专用车辆，确保密封、完好和整洁，并喷涂收集、运输单位的名称和相关标识标志。</w:t>
            </w:r>
          </w:p>
        </w:tc>
        <w:tc>
          <w:tcPr>
            <w:tcW w:w="668" w:type="dxa"/>
            <w:vAlign w:val="center"/>
          </w:tcPr>
          <w:p w14:paraId="07414A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4" w:type="dxa"/>
            <w:vAlign w:val="center"/>
          </w:tcPr>
          <w:p w14:paraId="7488F78A">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餐厨废弃物运输服务企业要加强对运输车辆的管理，改造更换不符合规范的运输车辆，确保车辆具备防渗漏、防遗撒、防臭功能，实行全程运输密闭化；</w:t>
            </w:r>
          </w:p>
          <w:p w14:paraId="1904BE22">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餐厨废弃物运输服务企业要加强车辆日常维保，按车辆例行保养常规项目定期维护、维修，确保车况良好，密闭运输，安全运行；</w:t>
            </w:r>
          </w:p>
          <w:p w14:paraId="6C6376EA">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专车专用，不得运输其他类型垃圾。</w:t>
            </w:r>
          </w:p>
        </w:tc>
        <w:tc>
          <w:tcPr>
            <w:tcW w:w="1732" w:type="dxa"/>
            <w:vAlign w:val="center"/>
          </w:tcPr>
          <w:p w14:paraId="1F2A77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市容环卫股</w:t>
            </w:r>
          </w:p>
          <w:p w14:paraId="5DEB2D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环境卫生管理局</w:t>
            </w:r>
          </w:p>
        </w:tc>
      </w:tr>
      <w:tr w14:paraId="56A9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23872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5</w:t>
            </w:r>
          </w:p>
        </w:tc>
        <w:tc>
          <w:tcPr>
            <w:tcW w:w="1432" w:type="dxa"/>
            <w:vAlign w:val="center"/>
          </w:tcPr>
          <w:p w14:paraId="6A308A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按规定缴纳城镇垃圾处理费</w:t>
            </w:r>
          </w:p>
        </w:tc>
        <w:tc>
          <w:tcPr>
            <w:tcW w:w="1963" w:type="dxa"/>
            <w:vAlign w:val="center"/>
          </w:tcPr>
          <w:p w14:paraId="780F98D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缴费责任单位拒缴或欠缴城镇垃圾处理费</w:t>
            </w:r>
          </w:p>
        </w:tc>
        <w:tc>
          <w:tcPr>
            <w:tcW w:w="8496" w:type="dxa"/>
            <w:vAlign w:val="center"/>
          </w:tcPr>
          <w:p w14:paraId="2CF533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【部门规章】《城市生活垃圾管理办法》</w:t>
            </w:r>
          </w:p>
          <w:p w14:paraId="7BAD787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第四条 产生城市生活垃圾的单位和个人，应当按照城市人民政府确定的生活垃圾处理费收费标准和有关规定缴纳城市生活垃圾处理费。城市生活垃圾处理费应当专项用于城市生活垃圾收集、运输和处置，严禁挪作他用。</w:t>
            </w:r>
          </w:p>
          <w:p w14:paraId="2D033B4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第三十八条 单位和个人未按规定缴纳城市生活垃圾处理费的，由直辖市、市、县人民政府建设（环境卫生）主管部门责令限期改正，逾期不改正的，对单位可处以应交城市生活垃圾处理费三倍以下且不超过 3 万元的罚款，对个人可处以应交城市生活垃圾处理费三倍以下且不超过1000元的罚款。</w:t>
            </w:r>
          </w:p>
        </w:tc>
        <w:tc>
          <w:tcPr>
            <w:tcW w:w="668" w:type="dxa"/>
            <w:vAlign w:val="center"/>
          </w:tcPr>
          <w:p w14:paraId="539849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4" w:type="dxa"/>
            <w:vAlign w:val="center"/>
          </w:tcPr>
          <w:p w14:paraId="76DBD0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缴费责任单位及时缴纳费用，避免被加收滞纳金、处以罚款。</w:t>
            </w:r>
          </w:p>
        </w:tc>
        <w:tc>
          <w:tcPr>
            <w:tcW w:w="1732" w:type="dxa"/>
            <w:vAlign w:val="center"/>
          </w:tcPr>
          <w:p w14:paraId="49A5E3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市容环卫股</w:t>
            </w:r>
          </w:p>
          <w:p w14:paraId="60DD0A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环境卫生管理局</w:t>
            </w:r>
          </w:p>
        </w:tc>
      </w:tr>
      <w:tr w14:paraId="0B36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E0562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6</w:t>
            </w:r>
          </w:p>
        </w:tc>
        <w:tc>
          <w:tcPr>
            <w:tcW w:w="1432" w:type="dxa"/>
            <w:vAlign w:val="center"/>
          </w:tcPr>
          <w:p w14:paraId="1C266BB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在店门、窗内进行经营、作业</w:t>
            </w:r>
          </w:p>
        </w:tc>
        <w:tc>
          <w:tcPr>
            <w:tcW w:w="1963" w:type="dxa"/>
            <w:vAlign w:val="center"/>
          </w:tcPr>
          <w:p w14:paraId="1F91355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超出门、窗进行店外占道经营、作业或者展示商品</w:t>
            </w:r>
          </w:p>
        </w:tc>
        <w:tc>
          <w:tcPr>
            <w:tcW w:w="8496" w:type="dxa"/>
            <w:vAlign w:val="center"/>
          </w:tcPr>
          <w:p w14:paraId="112CBD5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【地方性法规】《湖北省城市市容和环境卫生管理条例》</w:t>
            </w:r>
          </w:p>
          <w:p w14:paraId="6A7B3D0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第十四条 任何单位和个人不得擅自占用城市道路、桥梁、广场、地下通道及其他公共场所摆摊设点、销售或者加工制作商品。经依法批准临时占用城市道路或者其他公共场所从事经营或者举办活动的，应当按照批准的时间、地点和要求进行。临街商场、门店的经营者不得超出门、窗外墙摆摊经营、作业或者展示商品</w:t>
            </w:r>
          </w:p>
          <w:p w14:paraId="4C04477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第四十二条 有下列行为之一的，由市容环卫主管部门或者依法确定的其他行政管理部门按照下列规定予以处理：</w:t>
            </w:r>
          </w:p>
          <w:p w14:paraId="6FA7A4A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（三）违反第十四条规定的，责令停止违法行为，处20元以上1000元以下罚款。</w:t>
            </w:r>
          </w:p>
          <w:p w14:paraId="4B3FD30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【地方性法规】《黄石市市容和环境卫生管理条例》</w:t>
            </w:r>
          </w:p>
          <w:p w14:paraId="580AFC2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第三十三条</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 </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任何单位和个人不得擅自在道路、公共场所摆摊设点，占道经营。</w:t>
            </w:r>
          </w:p>
          <w:p w14:paraId="25ABE26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临街商业网点经营人不得超出门、窗、外墙经营。</w:t>
            </w:r>
          </w:p>
          <w:p w14:paraId="685A0C2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第四十二条 有下列行为之一的，由县（市、区）城市管理部门按照下列规定处理：</w:t>
            </w:r>
          </w:p>
          <w:p w14:paraId="3EC8D4D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（九）违反本条例第三十三条第一款、第二款规定的，责令改正；拒不改正的，处50元以上1000元以下罚款；</w:t>
            </w:r>
          </w:p>
        </w:tc>
        <w:tc>
          <w:tcPr>
            <w:tcW w:w="668" w:type="dxa"/>
            <w:vAlign w:val="center"/>
          </w:tcPr>
          <w:p w14:paraId="0CC3F1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p w14:paraId="256440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4" w:type="dxa"/>
            <w:vAlign w:val="center"/>
          </w:tcPr>
          <w:p w14:paraId="77C3C2B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结合当前经济发展的要求和大冶地方实际，大冶城区编制疏导点和跨店经营导则，部分条件允许区域，实行划线外摆规范管理；由各城区选定疏导点，引导流动摊贩入市经营。</w:t>
            </w:r>
          </w:p>
          <w:p w14:paraId="47C588B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2、未实行划线外摆管理和疏导点的区域，应在店铺门窗垂直投影之内进行经营、作业或者展示商品等活动，不可以超出门、窗进行店外占道经营、作业或者展示商品。</w:t>
            </w:r>
          </w:p>
        </w:tc>
        <w:tc>
          <w:tcPr>
            <w:tcW w:w="1732" w:type="dxa"/>
            <w:vAlign w:val="center"/>
          </w:tcPr>
          <w:p w14:paraId="2915D2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综合执法股</w:t>
            </w:r>
          </w:p>
          <w:p w14:paraId="2EDEBA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城管综合执法大队</w:t>
            </w:r>
          </w:p>
        </w:tc>
      </w:tr>
    </w:tbl>
    <w:p w14:paraId="506A9A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br w:type="page"/>
      </w:r>
    </w:p>
    <w:tbl>
      <w:tblPr>
        <w:tblStyle w:val="13"/>
        <w:tblpPr w:leftFromText="180" w:rightFromText="180" w:vertAnchor="text" w:horzAnchor="page" w:tblpX="1844" w:tblpY="1"/>
        <w:tblOverlap w:val="never"/>
        <w:tblW w:w="1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32"/>
        <w:gridCol w:w="1895"/>
        <w:gridCol w:w="8564"/>
        <w:gridCol w:w="668"/>
        <w:gridCol w:w="5114"/>
        <w:gridCol w:w="1732"/>
      </w:tblGrid>
      <w:tr w14:paraId="5D8F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CF5BF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7</w:t>
            </w:r>
          </w:p>
        </w:tc>
        <w:tc>
          <w:tcPr>
            <w:tcW w:w="1432" w:type="dxa"/>
            <w:vAlign w:val="center"/>
          </w:tcPr>
          <w:p w14:paraId="6A1E701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按照城市管理要求，设置户外广告、霓虹灯等设施</w:t>
            </w:r>
          </w:p>
        </w:tc>
        <w:tc>
          <w:tcPr>
            <w:tcW w:w="1895" w:type="dxa"/>
            <w:vAlign w:val="center"/>
          </w:tcPr>
          <w:p w14:paraId="3E65F22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1.未按照批准文件要求设置户外广告；</w:t>
            </w:r>
          </w:p>
          <w:p w14:paraId="398D601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2.未按照规定进行户外广告设施安全检测或者未履行安全防范义务；</w:t>
            </w:r>
          </w:p>
          <w:p w14:paraId="2E5A7C9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3.未经许可设置户外广告设施；</w:t>
            </w:r>
          </w:p>
          <w:p w14:paraId="4115152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4.未及时修复陈旧、残缺、锈蚀等影响市容的户外广告设施；</w:t>
            </w:r>
          </w:p>
          <w:p w14:paraId="2288617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5.设置户外广告、霓虹灯等设施不符合市容管理规定；</w:t>
            </w:r>
          </w:p>
          <w:p w14:paraId="3EFFE4E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6.户外广告设置期限届满，未申请延续或者申请延续未获批准，又不按时拆除。</w:t>
            </w:r>
          </w:p>
        </w:tc>
        <w:tc>
          <w:tcPr>
            <w:tcW w:w="8564" w:type="dxa"/>
            <w:vAlign w:val="center"/>
          </w:tcPr>
          <w:p w14:paraId="1CC238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【法律】《中华人民共和国广告法》</w:t>
            </w:r>
          </w:p>
          <w:p w14:paraId="24900F2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第十六条　设置户外广告，法律、法规规定须事先征求有关部门意见的，有关部门应自收到申请之日起七日内作出答复。</w:t>
            </w:r>
          </w:p>
          <w:p w14:paraId="5626BC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户外广告应当做到整齐、安全、美观。</w:t>
            </w:r>
          </w:p>
          <w:p w14:paraId="5F4C32B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经批准设置的户外广告，在有效期内，任何单位和个人不得擅自拆除、遮盖、损坏。确因城市建设需要拆除的，必须事先告知广告经营者，并按有关规定办理。</w:t>
            </w:r>
          </w:p>
          <w:p w14:paraId="170345F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【地方性法规】《湖北省城市市容和环境卫生管理条例》</w:t>
            </w:r>
          </w:p>
          <w:p w14:paraId="31104B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第十七条 户外广告应当统一规划，并按照规定的要求和期限设置。</w:t>
            </w:r>
          </w:p>
          <w:p w14:paraId="2AA10C1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机关、团体、企业事业单位以及个体工商户的名称、字号、标志等牌匾的设置，应当符合城市容貌标准。</w:t>
            </w:r>
          </w:p>
          <w:p w14:paraId="138CD7F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户外广告、牌匾、灯箱、画廊、标语、宣传栏等户外设施的设置人应当加强设施的日常管理，保持外形美观、安全牢固及功能完好。画面污损、字体残缺、灯光显示不完整等影响市容的，应当及时维修或者更换。</w:t>
            </w:r>
          </w:p>
          <w:p w14:paraId="31269F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第四十二条 有下列行为之一的，由市容环卫主管部门或者依法确定的其他行政管理部门按照下列规定予以处理</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p w14:paraId="278117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二</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违反第十条第三款、第四款、第十一条第三款、第十七条第三款、第三十二条第二款规定的，责令改正，拒不改正的，可以并处50元以上500元以下罚款</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p w14:paraId="0C1B53B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五</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违反第十七条第一款规定的，责令限期改正，可以并处1000元以上2万元以下罚款，逾期未改正的，申</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请人民法院强制拆除；</w:t>
            </w:r>
          </w:p>
          <w:p w14:paraId="3468976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【地方政府规章】《</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湖北省户外广告管理实施办法</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p w14:paraId="0CD489A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第十二条 设置户外广告必须按登记的地点、形式、规格、时间等内容发布，不得擅自改变。</w:t>
            </w:r>
          </w:p>
          <w:p w14:paraId="242D73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户外广告应当在其右下方醒目位置标明批准文号、设置者、使用期限（霓虹灯广告除外）。 </w:t>
            </w:r>
          </w:p>
          <w:p w14:paraId="0A04B53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第十三条 户外广告的设计、制作和安装、设置，应当牢固、安全，符合相应的技术、质量标准，不得粗制滥造。广告经营者应当保养、维修户外广告，做到整洁，美观、安全。 </w:t>
            </w:r>
          </w:p>
          <w:p w14:paraId="604200A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第十五条 户外广告自登记之日起3个月内未发布的，应当向原登记机关办理注销登记；需要延期发布或变更其他事项的，应当向原登记机关办理延期手续或变更登记。</w:t>
            </w:r>
          </w:p>
          <w:p w14:paraId="455EBC5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第十七条 户外广告设施的设置期限一般不超过3年，电子显示屏（牌）一般不超过6年。期满需延长设置时间的，应于期满前30日内向原审批登记机关办理延期手续。</w:t>
            </w:r>
          </w:p>
          <w:p w14:paraId="187536B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举办临时性活动，设置临时性户外广告的，应于活动结束后7日内撤除。</w:t>
            </w:r>
          </w:p>
          <w:p w14:paraId="6FA8D077">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由于设置者的过错，导致户外广告设施坠落、倒蹋等，造成他人损害的，设置者应当依法承担民事责任。</w:t>
            </w:r>
          </w:p>
          <w:p w14:paraId="332D1FC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第十九条 违反本办法第十二条、第十三条、第十四条规定的，由工商行政管理部门责令限期改正，并处以1000元以下罚款；逾期不改正的，责令其停止发布广告，并收回其登记证。</w:t>
            </w:r>
          </w:p>
        </w:tc>
        <w:tc>
          <w:tcPr>
            <w:tcW w:w="668" w:type="dxa"/>
            <w:vAlign w:val="center"/>
          </w:tcPr>
          <w:p w14:paraId="149EA4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4" w:type="dxa"/>
            <w:vAlign w:val="center"/>
          </w:tcPr>
          <w:p w14:paraId="517D358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1.单位设置户外广告应符合《城市户外广告和招牌设施技术标准》《黄石市城区户外广告专项规划（2021-2035）》相关标准；</w:t>
            </w:r>
          </w:p>
          <w:p w14:paraId="461CD46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2.户外广告设置依法取得行政许可；</w:t>
            </w:r>
          </w:p>
          <w:p w14:paraId="3DD286C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3.户外广告设施应当按照《城市户外广告和招牌设施技术标准》的要求，符合设置技术规范、安全技术标准和管理标准，保证设施安全和牢固。</w:t>
            </w:r>
          </w:p>
          <w:p w14:paraId="024DF4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4.按照规定进行户外广告设施安全检测或者未履行安全防范义务；</w:t>
            </w:r>
          </w:p>
          <w:p w14:paraId="1AF86A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5.户外广告设施应当保持整洁、完好、美观，及时修复陈旧、残缺、锈蚀等影响市容的户外广告设施；</w:t>
            </w:r>
          </w:p>
          <w:p w14:paraId="0D6A18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6.户外广告设施应当按照批准的地点、位置、形式、规格等进行设置，不得擅自变更；</w:t>
            </w:r>
          </w:p>
          <w:p w14:paraId="589C9CF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7.霓虹灯的位置应当合适，外观形式应当与街景协调，并保持完好、整洁、美观。</w:t>
            </w:r>
          </w:p>
        </w:tc>
        <w:tc>
          <w:tcPr>
            <w:tcW w:w="1732" w:type="dxa"/>
            <w:vAlign w:val="center"/>
          </w:tcPr>
          <w:p w14:paraId="0C53EA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综合执法股</w:t>
            </w:r>
          </w:p>
          <w:p w14:paraId="7C4132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城管综合执法大队</w:t>
            </w:r>
          </w:p>
        </w:tc>
      </w:tr>
      <w:tr w14:paraId="5E24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1C43C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8</w:t>
            </w:r>
          </w:p>
        </w:tc>
        <w:tc>
          <w:tcPr>
            <w:tcW w:w="1432" w:type="dxa"/>
            <w:vAlign w:val="center"/>
          </w:tcPr>
          <w:p w14:paraId="6D8A0C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在城市道路施工应当经市政工程行政主管部门批准，方可建设。</w:t>
            </w:r>
          </w:p>
        </w:tc>
        <w:tc>
          <w:tcPr>
            <w:tcW w:w="1895" w:type="dxa"/>
            <w:vAlign w:val="center"/>
          </w:tcPr>
          <w:p w14:paraId="20293CA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擅自在城市道路建设各种管线、杆线等设施，占用或者挖掘城市道路。</w:t>
            </w:r>
          </w:p>
        </w:tc>
        <w:tc>
          <w:tcPr>
            <w:tcW w:w="8564" w:type="dxa"/>
            <w:vAlign w:val="center"/>
          </w:tcPr>
          <w:p w14:paraId="740C5C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【行政法规】《城市道路管理条例》</w:t>
            </w:r>
          </w:p>
          <w:p w14:paraId="1196282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第二十九条 依附于城市道路建设各种管线、杆线等设施的，应当经市政工程行政主管部门批准，方可建设。</w:t>
            </w:r>
          </w:p>
          <w:p w14:paraId="3FFD9F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第三十条 未经市政工程行政主管部门和公安交通管理部门批准，任何单位或者个人不得占用或者挖掘城市道路。</w:t>
            </w:r>
          </w:p>
          <w:p w14:paraId="5E5A177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第三十九条 违反本条例的规定，有下列行为之一的，由市政工程行政主管部门责令停止设计、施工，限期改正，可以并处3万元以下的罚款；已经取得设计、施工资格证书，情节严重的，提请原发证机关吊销设计、施工资格证书：</w:t>
            </w:r>
          </w:p>
          <w:p w14:paraId="75E19D1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（一）未取得设计、施工资格或者未按照资质等级承担城市道路的设计、施工任务的；</w:t>
            </w:r>
          </w:p>
          <w:p w14:paraId="131743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（二）未按照城市道路设计、施工技术规范设计、施工的；</w:t>
            </w:r>
          </w:p>
          <w:p w14:paraId="06985FE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（三）未按照设计图纸施工或者擅自修改图纸的。</w:t>
            </w:r>
          </w:p>
        </w:tc>
        <w:tc>
          <w:tcPr>
            <w:tcW w:w="668" w:type="dxa"/>
            <w:vAlign w:val="center"/>
          </w:tcPr>
          <w:p w14:paraId="77FB80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p w14:paraId="0102EA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4" w:type="dxa"/>
            <w:vAlign w:val="center"/>
          </w:tcPr>
          <w:p w14:paraId="6032127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施工单位在施工前应向市政工程行政主管部门申请并获得批准，确保施工活动符合相关规定，同时与公安交通管理部门协调，确保施工期间的道路交通安全。</w:t>
            </w:r>
          </w:p>
        </w:tc>
        <w:tc>
          <w:tcPr>
            <w:tcW w:w="1732" w:type="dxa"/>
            <w:vAlign w:val="center"/>
          </w:tcPr>
          <w:p w14:paraId="3625C3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市政公用股</w:t>
            </w:r>
          </w:p>
        </w:tc>
      </w:tr>
    </w:tbl>
    <w:p w14:paraId="2F45A4B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br w:type="page"/>
      </w:r>
    </w:p>
    <w:tbl>
      <w:tblPr>
        <w:tblStyle w:val="13"/>
        <w:tblpPr w:leftFromText="180" w:rightFromText="180" w:vertAnchor="text" w:horzAnchor="page" w:tblpX="1844" w:tblpY="1"/>
        <w:tblOverlap w:val="never"/>
        <w:tblW w:w="1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073"/>
        <w:gridCol w:w="1813"/>
        <w:gridCol w:w="8009"/>
        <w:gridCol w:w="660"/>
        <w:gridCol w:w="5118"/>
        <w:gridCol w:w="1732"/>
      </w:tblGrid>
      <w:tr w14:paraId="7BA5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586" w:type="dxa"/>
            <w:vAlign w:val="center"/>
          </w:tcPr>
          <w:p w14:paraId="706361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9</w:t>
            </w:r>
          </w:p>
        </w:tc>
        <w:tc>
          <w:tcPr>
            <w:tcW w:w="2073" w:type="dxa"/>
            <w:vAlign w:val="center"/>
          </w:tcPr>
          <w:p w14:paraId="382F877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在城市桥梁安全保护区范围内施工应当经市政工程设施行政主管部门同意</w:t>
            </w:r>
          </w:p>
        </w:tc>
        <w:tc>
          <w:tcPr>
            <w:tcW w:w="1813" w:type="dxa"/>
            <w:vAlign w:val="center"/>
          </w:tcPr>
          <w:p w14:paraId="488CEC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擅自在城市桥梁安全保护区范围内施工</w:t>
            </w:r>
          </w:p>
        </w:tc>
        <w:tc>
          <w:tcPr>
            <w:tcW w:w="8009" w:type="dxa"/>
            <w:vAlign w:val="center"/>
          </w:tcPr>
          <w:p w14:paraId="3A2C81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【部门规章】《城市桥梁检测和养护维修管理办法》</w:t>
            </w:r>
          </w:p>
          <w:p w14:paraId="418DB9E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第十四条第二款 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14:paraId="0FB1EE7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第二十七条 单位和个人擅自在城市桥梁施工控制范围内从事本办法第十四条第二款规定的活动的，由城市人民政府市政工程设施行政主管部门责令限期改正，并可处1万元以上3万元以下的罚款。</w:t>
            </w:r>
          </w:p>
        </w:tc>
        <w:tc>
          <w:tcPr>
            <w:tcW w:w="660" w:type="dxa"/>
            <w:vAlign w:val="center"/>
          </w:tcPr>
          <w:p w14:paraId="5DA6D0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8" w:type="dxa"/>
            <w:vAlign w:val="center"/>
          </w:tcPr>
          <w:p w14:paraId="548409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施工单位在施工前充分了解城市桥梁安全保护区范围，并向市政工程设施行政主管部门申请并获得批准，同时与城市桥梁的产权人签订保护协议，采取必要的保护措施。</w:t>
            </w:r>
          </w:p>
        </w:tc>
        <w:tc>
          <w:tcPr>
            <w:tcW w:w="1732" w:type="dxa"/>
            <w:vAlign w:val="center"/>
          </w:tcPr>
          <w:p w14:paraId="5B7C4B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市政公用股</w:t>
            </w:r>
          </w:p>
        </w:tc>
      </w:tr>
      <w:tr w14:paraId="02E2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586" w:type="dxa"/>
            <w:vAlign w:val="center"/>
          </w:tcPr>
          <w:p w14:paraId="1556EE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10</w:t>
            </w:r>
          </w:p>
        </w:tc>
        <w:tc>
          <w:tcPr>
            <w:tcW w:w="2073" w:type="dxa"/>
            <w:vAlign w:val="center"/>
          </w:tcPr>
          <w:p w14:paraId="2D6D023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超限机动车辆、履带车、铁轮车等需经过城市桥梁的，应当经市政工程设施行政主管部门同意</w:t>
            </w:r>
          </w:p>
        </w:tc>
        <w:tc>
          <w:tcPr>
            <w:tcW w:w="1813" w:type="dxa"/>
            <w:vAlign w:val="center"/>
          </w:tcPr>
          <w:p w14:paraId="1F4CB44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擅自驾驶超限机动车辆、履带车、铁轮车通过城市桥梁</w:t>
            </w:r>
          </w:p>
        </w:tc>
        <w:tc>
          <w:tcPr>
            <w:tcW w:w="8009" w:type="dxa"/>
            <w:vAlign w:val="center"/>
          </w:tcPr>
          <w:p w14:paraId="4537B6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【部门规章】《城市桥梁检测和养护维修管理办法》</w:t>
            </w:r>
          </w:p>
          <w:p w14:paraId="20F9DE1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第十六条 超限机动车辆、履带车、铁轮车等需经过城市桥梁的，在报公安交通管理部门审批前，应当先经城市人民政府市政工程设施行政主管部门同意，并采取相应技术措施后，方可通行。</w:t>
            </w:r>
          </w:p>
          <w:p w14:paraId="22A1CFD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第二十八条 违反本办法第十六条、第二十三条规定，由城市人民政府市政工程设施行政主管部门责令限期改正，并可处1万元以上2万元以下的罚款；造成损失的，依法承担赔偿责任。</w:t>
            </w:r>
          </w:p>
        </w:tc>
        <w:tc>
          <w:tcPr>
            <w:tcW w:w="660" w:type="dxa"/>
            <w:vAlign w:val="center"/>
          </w:tcPr>
          <w:p w14:paraId="262C4E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8" w:type="dxa"/>
            <w:vAlign w:val="center"/>
          </w:tcPr>
          <w:p w14:paraId="384C73C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运输车辆应提前规划运输路线和时间，向市政工程设施行政主管部门申请并获得批准，并采取相应的技术措施，同时确保按照公安交通管理部门指定的时间、路线行驶。</w:t>
            </w:r>
          </w:p>
        </w:tc>
        <w:tc>
          <w:tcPr>
            <w:tcW w:w="1732" w:type="dxa"/>
            <w:vAlign w:val="center"/>
          </w:tcPr>
          <w:p w14:paraId="7DE91C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市政公用股</w:t>
            </w:r>
          </w:p>
        </w:tc>
      </w:tr>
      <w:tr w14:paraId="196B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586" w:type="dxa"/>
            <w:vAlign w:val="center"/>
          </w:tcPr>
          <w:p w14:paraId="7224C0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11</w:t>
            </w:r>
          </w:p>
        </w:tc>
        <w:tc>
          <w:tcPr>
            <w:tcW w:w="2073" w:type="dxa"/>
            <w:vAlign w:val="center"/>
          </w:tcPr>
          <w:p w14:paraId="405AFBE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城市桥梁上架设各种市政管线、电力线、电信线等，应当报市政工程设施行政主管部门批准后实施</w:t>
            </w:r>
          </w:p>
        </w:tc>
        <w:tc>
          <w:tcPr>
            <w:tcW w:w="1813" w:type="dxa"/>
            <w:vAlign w:val="center"/>
          </w:tcPr>
          <w:p w14:paraId="58797B9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擅自在城市桥梁上架设各种市政管线、电力线、电信线</w:t>
            </w:r>
          </w:p>
        </w:tc>
        <w:tc>
          <w:tcPr>
            <w:tcW w:w="8009" w:type="dxa"/>
            <w:vAlign w:val="center"/>
          </w:tcPr>
          <w:p w14:paraId="745E29A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【部门规章】《城市桥梁检测和养护维修管理办法》</w:t>
            </w:r>
          </w:p>
          <w:p w14:paraId="1CF407D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第十七条 在城市桥梁上架设各种市政管线、电力线、电信线等，应当先经原设计单位提出技术安全意见，报城市人民政府市政工程设施行政主管部门批准后，方可实施。</w:t>
            </w:r>
          </w:p>
          <w:p w14:paraId="1F6EDD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第二十六条 单位或者个人擅自在城市桥梁上架设各类管线、设置广告等辅助物的，由城市人民政府市政工程设施行政主管部门责令限期改正，并可处2万元以下的罚款；造成损失的，依法承担赔偿责任。</w:t>
            </w:r>
          </w:p>
        </w:tc>
        <w:tc>
          <w:tcPr>
            <w:tcW w:w="660" w:type="dxa"/>
            <w:vAlign w:val="center"/>
          </w:tcPr>
          <w:p w14:paraId="316CDA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8" w:type="dxa"/>
            <w:vAlign w:val="center"/>
          </w:tcPr>
          <w:p w14:paraId="541BB6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施工单位在架设管线前，应先与原设计单位沟通并获得技术安全意见，然后向市政工程设施行政主管部门申请并获得批准，确保架设活动符合桥梁安全要求。</w:t>
            </w:r>
          </w:p>
        </w:tc>
        <w:tc>
          <w:tcPr>
            <w:tcW w:w="1732" w:type="dxa"/>
            <w:vAlign w:val="center"/>
          </w:tcPr>
          <w:p w14:paraId="02D775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市政公用股</w:t>
            </w:r>
          </w:p>
        </w:tc>
      </w:tr>
      <w:tr w14:paraId="69E4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586" w:type="dxa"/>
            <w:vAlign w:val="center"/>
          </w:tcPr>
          <w:p w14:paraId="21BE33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12</w:t>
            </w:r>
          </w:p>
        </w:tc>
        <w:tc>
          <w:tcPr>
            <w:tcW w:w="2073" w:type="dxa"/>
            <w:vAlign w:val="center"/>
          </w:tcPr>
          <w:p w14:paraId="6E2C30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在城市桥梁上设置大型广告、悬挂物等辅助物的，应当报市政工程设施行政主管部门批准后实施</w:t>
            </w:r>
          </w:p>
        </w:tc>
        <w:tc>
          <w:tcPr>
            <w:tcW w:w="1813" w:type="dxa"/>
            <w:vAlign w:val="center"/>
          </w:tcPr>
          <w:p w14:paraId="56B212F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擅自在城市桥梁上设置大型广告、悬挂物等辅助物</w:t>
            </w:r>
          </w:p>
        </w:tc>
        <w:tc>
          <w:tcPr>
            <w:tcW w:w="8009" w:type="dxa"/>
            <w:vAlign w:val="center"/>
          </w:tcPr>
          <w:p w14:paraId="7415E0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【部门规章】《城市桥梁检测和养护维修管理办法》</w:t>
            </w:r>
          </w:p>
          <w:p w14:paraId="30FE92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第十八条 在城市桥梁上设置大型广告、悬挂物等辅助物的，应当出具相应的风载、荷载实验报告以及原设计单位的技术安全意见，报城市人民政府市政工程设施行政主管部门批准后，方可实施。</w:t>
            </w:r>
          </w:p>
          <w:p w14:paraId="1DC55BE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第二十六条 单位或者个人擅自在城市桥梁上架设各类管线、设置广告等辅助物的，由城市人民政府市政工程设施行政主管部门责令限期改正，并可处2万元以下的罚款；造成损失的，依法承担赔偿责任。</w:t>
            </w:r>
          </w:p>
        </w:tc>
        <w:tc>
          <w:tcPr>
            <w:tcW w:w="660" w:type="dxa"/>
            <w:vAlign w:val="center"/>
          </w:tcPr>
          <w:p w14:paraId="7A47A2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8" w:type="dxa"/>
            <w:vAlign w:val="center"/>
          </w:tcPr>
          <w:p w14:paraId="6F9A64E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施工单位在设置大型广告、悬挂物前，进行必要的风载、荷载实验，并获得原设计单位的技术安全意见，然后向市政工程设施行政主管部门申请并获得批准，确保设置活动不影响桥梁安全。</w:t>
            </w:r>
          </w:p>
        </w:tc>
        <w:tc>
          <w:tcPr>
            <w:tcW w:w="1732" w:type="dxa"/>
            <w:vAlign w:val="center"/>
          </w:tcPr>
          <w:p w14:paraId="7BA8EA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市政公用股</w:t>
            </w:r>
          </w:p>
          <w:p w14:paraId="258DB0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城管综合执法大队</w:t>
            </w:r>
          </w:p>
        </w:tc>
      </w:tr>
    </w:tbl>
    <w:p w14:paraId="4BB2BD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br w:type="page"/>
      </w:r>
    </w:p>
    <w:tbl>
      <w:tblPr>
        <w:tblStyle w:val="13"/>
        <w:tblpPr w:leftFromText="180" w:rightFromText="180" w:vertAnchor="text" w:horzAnchor="page" w:tblpX="1844" w:tblpY="1"/>
        <w:tblOverlap w:val="never"/>
        <w:tblW w:w="1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073"/>
        <w:gridCol w:w="1813"/>
        <w:gridCol w:w="8009"/>
        <w:gridCol w:w="660"/>
        <w:gridCol w:w="5118"/>
        <w:gridCol w:w="1732"/>
      </w:tblGrid>
      <w:tr w14:paraId="7A4B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586" w:type="dxa"/>
            <w:vAlign w:val="center"/>
          </w:tcPr>
          <w:p w14:paraId="3BA685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13</w:t>
            </w:r>
          </w:p>
        </w:tc>
        <w:tc>
          <w:tcPr>
            <w:tcW w:w="2073" w:type="dxa"/>
            <w:vAlign w:val="center"/>
          </w:tcPr>
          <w:p w14:paraId="376E08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新建项目雨水管网施工规范</w:t>
            </w:r>
          </w:p>
        </w:tc>
        <w:tc>
          <w:tcPr>
            <w:tcW w:w="1813" w:type="dxa"/>
            <w:vAlign w:val="center"/>
          </w:tcPr>
          <w:p w14:paraId="16923F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擅自更改管网设计，私接混接雨水和污水管网，导致雨污混流。  </w:t>
            </w:r>
          </w:p>
        </w:tc>
        <w:tc>
          <w:tcPr>
            <w:tcW w:w="8009" w:type="dxa"/>
            <w:vAlign w:val="center"/>
          </w:tcPr>
          <w:p w14:paraId="4ED0DA9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【行政法规】《城镇排水与污水处理条例》</w:t>
            </w:r>
          </w:p>
          <w:p w14:paraId="7F70F68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第十九条 除干旱地区外，新区建设应当实行雨水、污水分流；对实行雨水、污水合流的地区，应当按照城镇排水与污水处理规划要求，进行雨水、污水分流改造。雨水、污水分流改造可以结合旧城区改建和道路建设同时进行。</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br w:type="textWrapping"/>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在雨水、污水分流地区</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新区建设和旧城区改建不得将雨水管网、污水管网相互混接。</w:t>
            </w:r>
          </w:p>
          <w:p w14:paraId="319FB9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第四十八条</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 </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违反本条例规定</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在雨水、污水分流地区</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建设单位、施工单位将雨水管网、污水管网相互混接的</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由城镇排水主管部门责令改正</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处5万元以上10万元以下的罚款；造成损失的</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依法承担赔偿责任。</w:t>
            </w:r>
          </w:p>
        </w:tc>
        <w:tc>
          <w:tcPr>
            <w:tcW w:w="660" w:type="dxa"/>
            <w:vAlign w:val="center"/>
          </w:tcPr>
          <w:p w14:paraId="66998B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8" w:type="dxa"/>
            <w:vAlign w:val="center"/>
          </w:tcPr>
          <w:p w14:paraId="4F0D6EE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新建项目雨水管网施工应做到如下要求：1.施工企业在管网安装的关键节点（如接口连接、坡度调整、井室施工等），需对照设计图纸进行内部检查，并拍摄带定位和时间水印的施工过程照片。  </w:t>
            </w:r>
          </w:p>
        </w:tc>
        <w:tc>
          <w:tcPr>
            <w:tcW w:w="1732" w:type="dxa"/>
            <w:vAlign w:val="center"/>
          </w:tcPr>
          <w:p w14:paraId="15C50B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市政公用股</w:t>
            </w:r>
          </w:p>
          <w:p w14:paraId="2BE501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排水管理处</w:t>
            </w:r>
          </w:p>
        </w:tc>
      </w:tr>
      <w:tr w14:paraId="398C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586" w:type="dxa"/>
            <w:vAlign w:val="center"/>
          </w:tcPr>
          <w:p w14:paraId="4B9749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14</w:t>
            </w:r>
          </w:p>
        </w:tc>
        <w:tc>
          <w:tcPr>
            <w:tcW w:w="2073" w:type="dxa"/>
            <w:vAlign w:val="center"/>
          </w:tcPr>
          <w:p w14:paraId="337E9EF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供水设施管理</w:t>
            </w:r>
          </w:p>
        </w:tc>
        <w:tc>
          <w:tcPr>
            <w:tcW w:w="1813" w:type="dxa"/>
            <w:vAlign w:val="center"/>
          </w:tcPr>
          <w:p w14:paraId="0EC17D3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施工造成供水设施损坏</w:t>
            </w:r>
          </w:p>
        </w:tc>
        <w:tc>
          <w:tcPr>
            <w:tcW w:w="8009" w:type="dxa"/>
            <w:vAlign w:val="center"/>
          </w:tcPr>
          <w:p w14:paraId="0F89382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地方</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政府规章】</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黄石市城市供水用水管理办法</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p w14:paraId="64C8C0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第十六条 在城市公共供水管道及其附属设施的地面和地下安全保护范围内，禁止挖坑、取土或者修建建（构）筑物等危害供水设施安全的活动。禁止盗窃、收购、损坏城市公共供水设施。禁止围压、堆占、掩埋供水管道及其附属设施。禁止向自来水井孔内倾倒垃圾、粪便、污水及其他污物。禁止盗窃、收购、损坏城市公用供水设施。</w:t>
            </w:r>
          </w:p>
          <w:p w14:paraId="21C8E50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涉及城市公共供水设施的建设工程开工前，建设单位或施工单位应当向供水单位查明地下供水设施情况。工程施工影响供水设施安全的，应当与供水单位商定相应的保护措施，确保供水设施安全。</w:t>
            </w:r>
          </w:p>
          <w:p w14:paraId="7EC1B3A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建设单位或施工单位在施工中造成供水设施损坏的，由供水单位组织抢修，所需费用由建设单位或者施工单位承担；造成供水单位或者第三方损失的，应当依法赔偿。</w:t>
            </w:r>
          </w:p>
          <w:p w14:paraId="4E035D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第三十三条 违反本办法规定，有下列行为之一的，由城市供水行政主管部门按下列规定给予处罚：</w:t>
            </w:r>
          </w:p>
          <w:p w14:paraId="403EFEB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（四）盗窃、收购、损坏城市公共供水设施的，除按被损坏供水设施原值照价赔偿和没收非法所得及赃物外，并处以直接责任人200元、责任单位 200元以上 1000元以下罚款；</w:t>
            </w:r>
          </w:p>
        </w:tc>
        <w:tc>
          <w:tcPr>
            <w:tcW w:w="660" w:type="dxa"/>
            <w:vAlign w:val="center"/>
          </w:tcPr>
          <w:p w14:paraId="673B73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8" w:type="dxa"/>
            <w:vAlign w:val="center"/>
          </w:tcPr>
          <w:p w14:paraId="0A9FA46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加强沟通协调。在项目动工前向业主单位、施工单位做好管线交底，说明管线具体情况和保护要求，并签订相关协议；2.强化巡查管理。提升对施工区域管线的保护意识，安排专人专班落实管线巡查工作，及时发现和纠正施工单位的违规行为；3.优化抢修处置流程。健全应急响应机制及方案，确保在供水管道破损后能够迅速进行抢修，加快推进抢修作业进度，尽量压减停水时间；抢修完成后应严格落实连通前冲洗、连通水水质检测，保障居民用水质量。4.落实线索移交。核实施工损管行为属实后，将线索移交有关部门查处。</w:t>
            </w:r>
          </w:p>
        </w:tc>
        <w:tc>
          <w:tcPr>
            <w:tcW w:w="1732" w:type="dxa"/>
            <w:vAlign w:val="center"/>
          </w:tcPr>
          <w:p w14:paraId="125496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市政公用股</w:t>
            </w:r>
          </w:p>
        </w:tc>
      </w:tr>
      <w:tr w14:paraId="2F8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86" w:type="dxa"/>
            <w:vAlign w:val="center"/>
          </w:tcPr>
          <w:p w14:paraId="2779C4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15</w:t>
            </w:r>
          </w:p>
        </w:tc>
        <w:tc>
          <w:tcPr>
            <w:tcW w:w="2073" w:type="dxa"/>
            <w:vAlign w:val="center"/>
          </w:tcPr>
          <w:p w14:paraId="70094B1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燃气</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用户及相关单位</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不得在不具备安全条件的场所</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使用、</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储存</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燃气</w:t>
            </w:r>
          </w:p>
        </w:tc>
        <w:tc>
          <w:tcPr>
            <w:tcW w:w="1813" w:type="dxa"/>
            <w:vAlign w:val="center"/>
          </w:tcPr>
          <w:p w14:paraId="5003AA7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在不具备安全条件的场所使用、储存燃气</w:t>
            </w:r>
          </w:p>
        </w:tc>
        <w:tc>
          <w:tcPr>
            <w:tcW w:w="8009" w:type="dxa"/>
            <w:vAlign w:val="center"/>
          </w:tcPr>
          <w:p w14:paraId="4B4D6D3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行政法规</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】《城镇燃气管理条例》</w:t>
            </w:r>
          </w:p>
          <w:p w14:paraId="6D9C792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第二十八条 燃气经营者不得有下列行为：</w:t>
            </w:r>
          </w:p>
          <w:p w14:paraId="511621B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（五）在不具备安全条件的场所使用、储存燃气；</w:t>
            </w:r>
          </w:p>
          <w:p w14:paraId="2CBBFC8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第四十</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九</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条</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60F9638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（五）在不具备安全条件的场所使用、储存燃气的</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660" w:type="dxa"/>
            <w:vAlign w:val="center"/>
          </w:tcPr>
          <w:p w14:paraId="4FA785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p>
          <w:p w14:paraId="41BB1C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8" w:type="dxa"/>
            <w:vAlign w:val="center"/>
          </w:tcPr>
          <w:p w14:paraId="446450C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p>
          <w:p w14:paraId="137A9B0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1.供气单位对燃气使用者供气前及使用中开展用气环境、用气设施、安全设施、用气管理开展隐患排查、下达隐患告知单督促用户及时整改。</w:t>
            </w:r>
          </w:p>
          <w:p w14:paraId="28D9424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2.对存在重大安全隐患的应当停业整改。</w:t>
            </w:r>
          </w:p>
        </w:tc>
        <w:tc>
          <w:tcPr>
            <w:tcW w:w="1732" w:type="dxa"/>
            <w:vAlign w:val="center"/>
          </w:tcPr>
          <w:p w14:paraId="6A69B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市政公用股</w:t>
            </w:r>
          </w:p>
          <w:p w14:paraId="2BB764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燃气管理处</w:t>
            </w:r>
          </w:p>
        </w:tc>
      </w:tr>
      <w:tr w14:paraId="72CB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586" w:type="dxa"/>
            <w:vAlign w:val="center"/>
          </w:tcPr>
          <w:p w14:paraId="3F396C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16</w:t>
            </w:r>
          </w:p>
        </w:tc>
        <w:tc>
          <w:tcPr>
            <w:tcW w:w="2073" w:type="dxa"/>
            <w:vAlign w:val="center"/>
          </w:tcPr>
          <w:p w14:paraId="7F79BD2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en-US" w:bidi="ar-SA"/>
              </w:rPr>
              <w:t>建设工程施工范围内有地下燃气管线等重要燃气设施的，建设单位应当会同施工单位与管道燃气经营者共同制定燃气设施保护方案</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，或者</w:t>
            </w:r>
            <w:r>
              <w:rPr>
                <w:rFonts w:hint="default" w:asciiTheme="minorEastAsia" w:hAnsiTheme="minorEastAsia" w:eastAsiaTheme="minorEastAsia" w:cstheme="minorEastAsia"/>
                <w:i w:val="0"/>
                <w:snapToGrid/>
                <w:color w:val="auto"/>
                <w:kern w:val="2"/>
                <w:sz w:val="21"/>
                <w:szCs w:val="21"/>
                <w:highlight w:val="none"/>
                <w:u w:val="none"/>
                <w:lang w:val="en-US" w:eastAsia="en-US" w:bidi="ar-SA"/>
              </w:rPr>
              <w:t>建设单位、施工单位未采取相应的安全保护措施的。</w:t>
            </w:r>
          </w:p>
        </w:tc>
        <w:tc>
          <w:tcPr>
            <w:tcW w:w="1813" w:type="dxa"/>
            <w:vAlign w:val="center"/>
          </w:tcPr>
          <w:p w14:paraId="4BCFD0A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en-US" w:bidi="ar-SA"/>
              </w:rPr>
              <w:t>未会同施工单位与管道燃气经营者共同制定燃气设施保护方案</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，或者</w:t>
            </w:r>
            <w:r>
              <w:rPr>
                <w:rFonts w:hint="default" w:asciiTheme="minorEastAsia" w:hAnsiTheme="minorEastAsia" w:eastAsiaTheme="minorEastAsia" w:cstheme="minorEastAsia"/>
                <w:i w:val="0"/>
                <w:snapToGrid/>
                <w:color w:val="auto"/>
                <w:kern w:val="2"/>
                <w:sz w:val="21"/>
                <w:szCs w:val="21"/>
                <w:highlight w:val="none"/>
                <w:u w:val="none"/>
                <w:lang w:val="en-US" w:eastAsia="en-US" w:bidi="ar-SA"/>
              </w:rPr>
              <w:t>建设单位、施工单位未采取相应的安全保护措施的</w:t>
            </w:r>
          </w:p>
        </w:tc>
        <w:tc>
          <w:tcPr>
            <w:tcW w:w="8009" w:type="dxa"/>
            <w:vAlign w:val="center"/>
          </w:tcPr>
          <w:p w14:paraId="71B88B5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en-US"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行政法规</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r>
              <w:rPr>
                <w:rFonts w:hint="default" w:asciiTheme="minorEastAsia" w:hAnsiTheme="minorEastAsia" w:eastAsiaTheme="minorEastAsia" w:cstheme="minorEastAsia"/>
                <w:i w:val="0"/>
                <w:snapToGrid/>
                <w:color w:val="auto"/>
                <w:kern w:val="2"/>
                <w:sz w:val="21"/>
                <w:szCs w:val="21"/>
                <w:highlight w:val="none"/>
                <w:u w:val="none"/>
                <w:lang w:val="en-US" w:eastAsia="en-US" w:bidi="ar-SA"/>
              </w:rPr>
              <w:t>《城镇燃气管理条例》</w:t>
            </w:r>
          </w:p>
          <w:p w14:paraId="2C2D494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en-US" w:bidi="ar-SA"/>
              </w:rPr>
            </w:pPr>
            <w:r>
              <w:rPr>
                <w:rFonts w:hint="default" w:asciiTheme="minorEastAsia" w:hAnsiTheme="minorEastAsia" w:eastAsiaTheme="minorEastAsia" w:cstheme="minorEastAsia"/>
                <w:i w:val="0"/>
                <w:snapToGrid/>
                <w:color w:val="auto"/>
                <w:kern w:val="2"/>
                <w:sz w:val="21"/>
                <w:szCs w:val="21"/>
                <w:highlight w:val="none"/>
                <w:u w:val="none"/>
                <w:lang w:val="en-US" w:eastAsia="en-US" w:bidi="ar-SA"/>
              </w:rPr>
              <w:t>第三十七条第三款</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 </w:t>
            </w:r>
            <w:r>
              <w:rPr>
                <w:rFonts w:hint="default" w:asciiTheme="minorEastAsia" w:hAnsiTheme="minorEastAsia" w:eastAsiaTheme="minorEastAsia" w:cstheme="minorEastAsia"/>
                <w:i w:val="0"/>
                <w:snapToGrid/>
                <w:color w:val="auto"/>
                <w:kern w:val="2"/>
                <w:sz w:val="21"/>
                <w:szCs w:val="21"/>
                <w:highlight w:val="none"/>
                <w:u w:val="none"/>
                <w:lang w:val="en-US" w:eastAsia="en-US" w:bidi="ar-SA"/>
              </w:rPr>
              <w:t>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p w14:paraId="381B078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en-US" w:bidi="ar-SA"/>
              </w:rPr>
              <w:t>第五十二条</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 xml:space="preserve"> </w:t>
            </w:r>
            <w:r>
              <w:rPr>
                <w:rFonts w:hint="default" w:asciiTheme="minorEastAsia" w:hAnsiTheme="minorEastAsia" w:eastAsiaTheme="minorEastAsia" w:cstheme="minorEastAsia"/>
                <w:i w:val="0"/>
                <w:snapToGrid/>
                <w:color w:val="auto"/>
                <w:kern w:val="2"/>
                <w:sz w:val="21"/>
                <w:szCs w:val="21"/>
                <w:highlight w:val="none"/>
                <w:u w:val="none"/>
                <w:lang w:val="en-US" w:eastAsia="en-US" w:bidi="ar-SA"/>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660" w:type="dxa"/>
            <w:vAlign w:val="center"/>
          </w:tcPr>
          <w:p w14:paraId="17BB441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en-US" w:bidi="ar-SA"/>
              </w:rPr>
              <w:t>★★</w:t>
            </w:r>
          </w:p>
        </w:tc>
        <w:tc>
          <w:tcPr>
            <w:tcW w:w="5118" w:type="dxa"/>
            <w:vAlign w:val="center"/>
          </w:tcPr>
          <w:p w14:paraId="0B255D0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p>
          <w:p w14:paraId="096B44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1.建设工程施工单位施工前主动</w:t>
            </w:r>
          </w:p>
          <w:p w14:paraId="3E32395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对接管道燃气经营企业共同制定燃气设施保护方案。</w:t>
            </w:r>
          </w:p>
          <w:p w14:paraId="4A302FA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2.管道燃气企业加强施工工地周边燃气管道的巡检。</w:t>
            </w:r>
          </w:p>
          <w:p w14:paraId="2B71B0B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3.施工前各城区燃气管理部门组织相关单位开展施工前现场勘验。</w:t>
            </w:r>
          </w:p>
          <w:p w14:paraId="4EEBF4D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4.燃气管道周边施工作业时，管道燃气经营企业必须指派专人现场指导。</w:t>
            </w:r>
          </w:p>
        </w:tc>
        <w:tc>
          <w:tcPr>
            <w:tcW w:w="1732" w:type="dxa"/>
            <w:vAlign w:val="center"/>
          </w:tcPr>
          <w:p w14:paraId="5D3AE7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市政公用股</w:t>
            </w:r>
          </w:p>
          <w:p w14:paraId="556B2B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燃气管理处</w:t>
            </w:r>
          </w:p>
          <w:p w14:paraId="20A993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p>
        </w:tc>
      </w:tr>
      <w:tr w14:paraId="68FE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86" w:type="dxa"/>
            <w:vAlign w:val="center"/>
          </w:tcPr>
          <w:p w14:paraId="3117D2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17</w:t>
            </w:r>
          </w:p>
        </w:tc>
        <w:tc>
          <w:tcPr>
            <w:tcW w:w="2073" w:type="dxa"/>
            <w:vAlign w:val="center"/>
          </w:tcPr>
          <w:p w14:paraId="15FB88B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en-US"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遵守《湖北省城市绿化实施办法》，不侵占公共绿地</w:t>
            </w:r>
          </w:p>
        </w:tc>
        <w:tc>
          <w:tcPr>
            <w:tcW w:w="1813" w:type="dxa"/>
            <w:vAlign w:val="center"/>
          </w:tcPr>
          <w:p w14:paraId="3C9F4CA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en-US"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企业在原有建筑周边通过硬化地面、围栏等方式破坏、侵占绿地，改变绿地性质。</w:t>
            </w:r>
          </w:p>
        </w:tc>
        <w:tc>
          <w:tcPr>
            <w:tcW w:w="8009" w:type="dxa"/>
            <w:vAlign w:val="center"/>
          </w:tcPr>
          <w:p w14:paraId="796103A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地方政府规章</w:t>
            </w: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《湖北省城市绿化实施办法》</w:t>
            </w:r>
          </w:p>
          <w:p w14:paraId="38D0FC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第十六条 任何单位和个人不得擅自改变城市绿化规划用地性质，或者破坏绿化规划用地的地形、地貌、水体和植被。</w:t>
            </w:r>
          </w:p>
          <w:p w14:paraId="2E2A97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第二十二条 对违反本办法有关规定的，由负责城市绿化管理的部门按下列规定处理。</w:t>
            </w:r>
          </w:p>
          <w:p w14:paraId="47C2B07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en-US"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（一）违反第十六条第二款规定的，责令采取补救措施，并处以10000元以下罚款。</w:t>
            </w:r>
          </w:p>
        </w:tc>
        <w:tc>
          <w:tcPr>
            <w:tcW w:w="660" w:type="dxa"/>
            <w:vAlign w:val="center"/>
          </w:tcPr>
          <w:p w14:paraId="2AD535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zh-CN"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p>
          <w:p w14:paraId="7CF9626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i w:val="0"/>
                <w:snapToGrid/>
                <w:color w:val="auto"/>
                <w:kern w:val="2"/>
                <w:sz w:val="21"/>
                <w:szCs w:val="21"/>
                <w:highlight w:val="none"/>
                <w:u w:val="none"/>
                <w:lang w:val="en-US" w:eastAsia="en-US" w:bidi="ar-SA"/>
              </w:rPr>
            </w:pPr>
            <w:r>
              <w:rPr>
                <w:rFonts w:hint="default" w:asciiTheme="minorEastAsia" w:hAnsiTheme="minorEastAsia" w:eastAsiaTheme="minorEastAsia" w:cstheme="minorEastAsia"/>
                <w:i w:val="0"/>
                <w:snapToGrid/>
                <w:color w:val="auto"/>
                <w:kern w:val="2"/>
                <w:sz w:val="21"/>
                <w:szCs w:val="21"/>
                <w:highlight w:val="none"/>
                <w:u w:val="none"/>
                <w:lang w:val="en-US" w:eastAsia="zh-CN" w:bidi="ar-SA"/>
              </w:rPr>
              <w:t>★★</w:t>
            </w:r>
          </w:p>
        </w:tc>
        <w:tc>
          <w:tcPr>
            <w:tcW w:w="5118" w:type="dxa"/>
            <w:vAlign w:val="center"/>
          </w:tcPr>
          <w:p w14:paraId="29730F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企业应严格遵守建筑规划红线，不得在建设中通过侵占绿地扩大建筑面积。</w:t>
            </w:r>
          </w:p>
        </w:tc>
        <w:tc>
          <w:tcPr>
            <w:tcW w:w="1732" w:type="dxa"/>
            <w:vAlign w:val="center"/>
          </w:tcPr>
          <w:p w14:paraId="2F38AC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园林绿化股</w:t>
            </w:r>
          </w:p>
          <w:p w14:paraId="36BE5A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snapToGrid/>
                <w:color w:val="auto"/>
                <w:kern w:val="2"/>
                <w:sz w:val="21"/>
                <w:szCs w:val="21"/>
                <w:highlight w:val="none"/>
                <w:u w:val="none"/>
                <w:lang w:val="en-US" w:eastAsia="zh-CN" w:bidi="ar-SA"/>
              </w:rPr>
            </w:pPr>
            <w:r>
              <w:rPr>
                <w:rFonts w:hint="eastAsia" w:asciiTheme="minorEastAsia" w:hAnsiTheme="minorEastAsia" w:eastAsiaTheme="minorEastAsia" w:cstheme="minorEastAsia"/>
                <w:i w:val="0"/>
                <w:snapToGrid/>
                <w:color w:val="auto"/>
                <w:kern w:val="2"/>
                <w:sz w:val="21"/>
                <w:szCs w:val="21"/>
                <w:highlight w:val="none"/>
                <w:u w:val="none"/>
                <w:lang w:val="en-US" w:eastAsia="zh-CN" w:bidi="ar-SA"/>
              </w:rPr>
              <w:t>园林绿化管理局</w:t>
            </w:r>
          </w:p>
        </w:tc>
      </w:tr>
    </w:tbl>
    <w:p w14:paraId="7B623C6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小标宋_GBK" w:cs="Times New Roman"/>
          <w:snapToGrid w:val="0"/>
          <w:color w:val="000000" w:themeColor="text1"/>
          <w:kern w:val="0"/>
          <w:sz w:val="44"/>
          <w:szCs w:val="44"/>
          <w14:textFill>
            <w14:solidFill>
              <w14:schemeClr w14:val="tx1"/>
            </w14:solidFill>
          </w14:textFill>
        </w:rPr>
      </w:pPr>
    </w:p>
    <w:p w14:paraId="69E05456">
      <w:pPr>
        <w:pStyle w:val="4"/>
        <w:keepNext w:val="0"/>
        <w:keepLines w:val="0"/>
        <w:pageBreakBefore w:val="0"/>
        <w:widowControl w:val="0"/>
        <w:kinsoku/>
        <w:wordWrap/>
        <w:overflowPunct w:val="0"/>
        <w:topLinePunct/>
        <w:autoSpaceDE/>
        <w:autoSpaceDN/>
        <w:bidi w:val="0"/>
        <w:adjustRightInd w:val="0"/>
        <w:snapToGrid w:val="0"/>
        <w:spacing w:line="200" w:lineRule="exact"/>
        <w:jc w:val="both"/>
        <w:textAlignment w:val="baseline"/>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p>
    <w:p w14:paraId="3CF713E8">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备注：1.清单适用对象：本行政区域内</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涉及</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的自然人、法人。</w:t>
      </w:r>
    </w:p>
    <w:p w14:paraId="6A1CFE99">
      <w:pPr>
        <w:pStyle w:val="4"/>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ind w:firstLine="630" w:firstLineChars="300"/>
        <w:jc w:val="both"/>
        <w:textAlignment w:val="baseline"/>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2.该清单并未涵盖</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城管</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领域所有违法违规行为。</w:t>
      </w:r>
    </w:p>
    <w:p w14:paraId="1472119A">
      <w:pPr>
        <w:pStyle w:val="4"/>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ind w:firstLine="630" w:firstLineChars="300"/>
        <w:jc w:val="both"/>
        <w:textAlignment w:val="baseline"/>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3.发生频率较高的风险等级为★★★，发生频率一般的风险等级为★★，发生频率较少的风险等级为★。</w:t>
      </w:r>
    </w:p>
    <w:p w14:paraId="542CE0F5">
      <w:pPr>
        <w:keepNext w:val="0"/>
        <w:keepLines w:val="0"/>
        <w:pageBreakBefore w:val="0"/>
        <w:widowControl w:val="0"/>
        <w:kinsoku/>
        <w:wordWrap/>
        <w:overflowPunct w:val="0"/>
        <w:topLinePunct/>
        <w:autoSpaceDE/>
        <w:autoSpaceDN/>
        <w:bidi w:val="0"/>
        <w:adjustRightInd w:val="0"/>
        <w:snapToGrid w:val="0"/>
        <w:jc w:val="both"/>
        <w:rPr>
          <w:rFonts w:hint="default" w:ascii="Times New Roman" w:hAnsi="Times New Roman" w:cs="Times New Roman"/>
          <w:color w:val="000000" w:themeColor="text1"/>
          <w14:textFill>
            <w14:solidFill>
              <w14:schemeClr w14:val="tx1"/>
            </w14:solidFill>
          </w14:textFill>
        </w:rPr>
      </w:pPr>
    </w:p>
    <w:p w14:paraId="3F2C8F6F">
      <w:pPr>
        <w:pStyle w:val="4"/>
        <w:keepNext w:val="0"/>
        <w:keepLines w:val="0"/>
        <w:pageBreakBefore w:val="0"/>
        <w:widowControl w:val="0"/>
        <w:kinsoku/>
        <w:wordWrap/>
        <w:overflowPunct w:val="0"/>
        <w:topLinePunct/>
        <w:autoSpaceDE/>
        <w:autoSpaceDN/>
        <w:bidi w:val="0"/>
        <w:adjustRightInd w:val="0"/>
        <w:snapToGrid w:val="0"/>
        <w:spacing w:line="560" w:lineRule="exact"/>
        <w:jc w:val="both"/>
        <w:rPr>
          <w:rFonts w:hint="default" w:ascii="Times New Roman" w:hAnsi="Times New Roman" w:eastAsia="方正小标宋_GBK" w:cs="Times New Roman"/>
          <w:snapToGrid w:val="0"/>
          <w:color w:val="000000" w:themeColor="text1"/>
          <w:kern w:val="0"/>
          <w:sz w:val="44"/>
          <w:szCs w:val="44"/>
          <w:u w:val="single"/>
          <w:lang w:val="en-US" w:eastAsia="zh-CN"/>
          <w14:textFill>
            <w14:solidFill>
              <w14:schemeClr w14:val="tx1"/>
            </w14:solidFill>
          </w14:textFill>
        </w:rPr>
      </w:pPr>
    </w:p>
    <w:p w14:paraId="4663C810">
      <w:pPr>
        <w:keepNext w:val="0"/>
        <w:keepLines w:val="0"/>
        <w:pageBreakBefore w:val="0"/>
        <w:widowControl w:val="0"/>
        <w:kinsoku/>
        <w:wordWrap/>
        <w:overflowPunct w:val="0"/>
        <w:topLinePunct/>
        <w:autoSpaceDE/>
        <w:autoSpaceDN/>
        <w:bidi w:val="0"/>
        <w:adjustRightInd w:val="0"/>
        <w:snapToGrid w:val="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F4D5814">
      <w:pPr>
        <w:keepNext w:val="0"/>
        <w:keepLines w:val="0"/>
        <w:pageBreakBefore w:val="0"/>
        <w:widowControl w:val="0"/>
        <w:kinsoku/>
        <w:wordWrap/>
        <w:overflowPunct w:val="0"/>
        <w:topLinePunct/>
        <w:autoSpaceDE/>
        <w:autoSpaceDN/>
        <w:bidi w:val="0"/>
        <w:adjustRightInd w:val="0"/>
        <w:snapToGrid w:val="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84D58F4">
      <w:pPr>
        <w:keepNext w:val="0"/>
        <w:keepLines w:val="0"/>
        <w:pageBreakBefore w:val="0"/>
        <w:widowControl w:val="0"/>
        <w:kinsoku/>
        <w:wordWrap/>
        <w:overflowPunct w:val="0"/>
        <w:topLinePunct/>
        <w:autoSpaceDE/>
        <w:autoSpaceDN/>
        <w:bidi w:val="0"/>
        <w:adjustRightInd w:val="0"/>
        <w:snapToGrid w:val="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69EC9FE">
      <w:pPr>
        <w:keepNext w:val="0"/>
        <w:keepLines w:val="0"/>
        <w:pageBreakBefore w:val="0"/>
        <w:widowControl w:val="0"/>
        <w:kinsoku/>
        <w:wordWrap/>
        <w:overflowPunct w:val="0"/>
        <w:topLinePunct/>
        <w:autoSpaceDE/>
        <w:autoSpaceDN/>
        <w:bidi w:val="0"/>
        <w:adjustRightInd w:val="0"/>
        <w:snapToGrid w:val="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9253021">
      <w:pPr>
        <w:keepNext w:val="0"/>
        <w:keepLines w:val="0"/>
        <w:pageBreakBefore w:val="0"/>
        <w:widowControl w:val="0"/>
        <w:kinsoku/>
        <w:wordWrap/>
        <w:overflowPunct w:val="0"/>
        <w:topLinePunct/>
        <w:autoSpaceDE/>
        <w:autoSpaceDN/>
        <w:bidi w:val="0"/>
        <w:adjustRightInd w:val="0"/>
        <w:snapToGrid w:val="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BB121DD">
      <w:pPr>
        <w:keepNext w:val="0"/>
        <w:keepLines w:val="0"/>
        <w:pageBreakBefore w:val="0"/>
        <w:widowControl w:val="0"/>
        <w:kinsoku/>
        <w:wordWrap/>
        <w:overflowPunct w:val="0"/>
        <w:topLinePunct/>
        <w:autoSpaceDE/>
        <w:autoSpaceDN/>
        <w:bidi w:val="0"/>
        <w:adjustRightInd w:val="0"/>
        <w:snapToGrid w:val="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9FA4152">
      <w:pPr>
        <w:pStyle w:val="4"/>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p>
    <w:p w14:paraId="78364EB8">
      <w:pPr>
        <w:pStyle w:val="4"/>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p>
    <w:p w14:paraId="282F6BB9">
      <w:pPr>
        <w:pStyle w:val="4"/>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p>
    <w:p w14:paraId="319E6D80">
      <w:pPr>
        <w:pStyle w:val="4"/>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p>
    <w:p w14:paraId="362C4A85">
      <w:pPr>
        <w:pStyle w:val="4"/>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p>
    <w:p w14:paraId="14EC226A">
      <w:pPr>
        <w:pStyle w:val="4"/>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p>
    <w:p w14:paraId="7F83D98F">
      <w:pPr>
        <w:pStyle w:val="4"/>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p>
    <w:p w14:paraId="3EB59603">
      <w:pPr>
        <w:pStyle w:val="4"/>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p>
    <w:p w14:paraId="4B9E5F90">
      <w:pPr>
        <w:tabs>
          <w:tab w:val="left" w:pos="18930"/>
        </w:tabs>
        <w:bidi w:val="0"/>
        <w:jc w:val="left"/>
        <w:rPr>
          <w:rFonts w:hint="eastAsia"/>
          <w:lang w:val="en-US" w:eastAsia="zh-CN"/>
        </w:rPr>
      </w:pPr>
    </w:p>
    <w:sectPr>
      <w:footerReference r:id="rId5" w:type="default"/>
      <w:pgSz w:w="23811" w:h="16838" w:orient="landscape"/>
      <w:pgMar w:top="1587" w:right="2098" w:bottom="1531" w:left="2098" w:header="0" w:footer="799"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F09FB0-28D3-41D6-98F3-65969364E9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73D8B7F4-1067-45FF-883B-852249C28984}"/>
  </w:font>
  <w:font w:name="仿宋_GB2312">
    <w:altName w:val="仿宋"/>
    <w:panose1 w:val="02010609030101010101"/>
    <w:charset w:val="86"/>
    <w:family w:val="auto"/>
    <w:pitch w:val="default"/>
    <w:sig w:usb0="00000000" w:usb1="00000000" w:usb2="00000000" w:usb3="00000000" w:csb0="00040000" w:csb1="00000000"/>
    <w:embedRegular r:id="rId3" w:fontKey="{39A24499-2D6E-4C4C-8157-B026D635C3B8}"/>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BE799326-E81C-40FA-9932-C4B906BE4918}"/>
  </w:font>
  <w:font w:name="方正仿宋_GBK">
    <w:panose1 w:val="02000000000000000000"/>
    <w:charset w:val="86"/>
    <w:family w:val="auto"/>
    <w:pitch w:val="default"/>
    <w:sig w:usb0="A00002BF" w:usb1="38CF7CFA" w:usb2="00082016" w:usb3="00000000" w:csb0="00040001" w:csb1="00000000"/>
    <w:embedRegular r:id="rId5" w:fontKey="{0EE888AA-A41F-421C-9925-C5F53AB38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9334">
    <w:pPr>
      <w:spacing w:before="1" w:line="183" w:lineRule="auto"/>
      <w:rPr>
        <w:rFonts w:ascii="宋体" w:hAnsi="宋体" w:eastAsia="宋体" w:cs="宋体"/>
        <w:sz w:val="27"/>
        <w:szCs w:val="27"/>
      </w:rPr>
    </w:pPr>
    <w:r>
      <w:rPr>
        <w:sz w:val="27"/>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85BDD9C">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- 8 -</w:t>
                          </w:r>
                          <w:r>
                            <w:rPr>
                              <w:rFonts w:hint="default" w:ascii="Times New Roman" w:hAnsi="Times New Roman" w:cs="Times New Roman"/>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85BDD9C">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- 8 -</w:t>
                    </w:r>
                    <w:r>
                      <w:rPr>
                        <w:rFonts w:hint="default" w:ascii="Times New Roman" w:hAnsi="Times New Roman" w:cs="Times New Roman"/>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BF812"/>
    <w:multiLevelType w:val="singleLevel"/>
    <w:tmpl w:val="CD1BF812"/>
    <w:lvl w:ilvl="0" w:tentative="0">
      <w:start w:val="1"/>
      <w:numFmt w:val="decimal"/>
      <w:lvlText w:val="%1."/>
      <w:lvlJc w:val="left"/>
      <w:pPr>
        <w:tabs>
          <w:tab w:val="left" w:pos="312"/>
        </w:tabs>
      </w:pPr>
    </w:lvl>
  </w:abstractNum>
  <w:abstractNum w:abstractNumId="1">
    <w:nsid w:val="005C8CE5"/>
    <w:multiLevelType w:val="singleLevel"/>
    <w:tmpl w:val="005C8CE5"/>
    <w:lvl w:ilvl="0" w:tentative="0">
      <w:start w:val="18"/>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ZTY5NDE5OTE2NDE4YzVjMTIwYWI3ZmM5ZTU3MTEifQ=="/>
  </w:docVars>
  <w:rsids>
    <w:rsidRoot w:val="00000000"/>
    <w:rsid w:val="04EE728A"/>
    <w:rsid w:val="06F33FC4"/>
    <w:rsid w:val="084F6A61"/>
    <w:rsid w:val="08AB24D4"/>
    <w:rsid w:val="092C4CF1"/>
    <w:rsid w:val="0B3616EB"/>
    <w:rsid w:val="0B5F1B77"/>
    <w:rsid w:val="0B8F77B5"/>
    <w:rsid w:val="0CE331A7"/>
    <w:rsid w:val="0E927A27"/>
    <w:rsid w:val="0F16079E"/>
    <w:rsid w:val="0F26585B"/>
    <w:rsid w:val="11FB52D3"/>
    <w:rsid w:val="125C18C7"/>
    <w:rsid w:val="146E68AD"/>
    <w:rsid w:val="17847DD7"/>
    <w:rsid w:val="187E1170"/>
    <w:rsid w:val="19CF29C4"/>
    <w:rsid w:val="19E2277D"/>
    <w:rsid w:val="1C2564C4"/>
    <w:rsid w:val="1CAC44F0"/>
    <w:rsid w:val="1DF35F7A"/>
    <w:rsid w:val="21117017"/>
    <w:rsid w:val="22564281"/>
    <w:rsid w:val="235278DD"/>
    <w:rsid w:val="25BD776E"/>
    <w:rsid w:val="269E134D"/>
    <w:rsid w:val="271D4B42"/>
    <w:rsid w:val="2BBE7482"/>
    <w:rsid w:val="2BCAEF08"/>
    <w:rsid w:val="2C3026EF"/>
    <w:rsid w:val="2E9F5E7D"/>
    <w:rsid w:val="2ED3590C"/>
    <w:rsid w:val="2EEA3285"/>
    <w:rsid w:val="2F223BD8"/>
    <w:rsid w:val="303970ED"/>
    <w:rsid w:val="3062163D"/>
    <w:rsid w:val="3101468D"/>
    <w:rsid w:val="31125814"/>
    <w:rsid w:val="33CB12A8"/>
    <w:rsid w:val="33E0550F"/>
    <w:rsid w:val="3776649C"/>
    <w:rsid w:val="37FA215C"/>
    <w:rsid w:val="38D4002F"/>
    <w:rsid w:val="39B90E85"/>
    <w:rsid w:val="3A2A1B78"/>
    <w:rsid w:val="3A4F0FB9"/>
    <w:rsid w:val="3A9B19D4"/>
    <w:rsid w:val="3C030505"/>
    <w:rsid w:val="3DB91213"/>
    <w:rsid w:val="3EC053B3"/>
    <w:rsid w:val="3FA0183A"/>
    <w:rsid w:val="422F2A8A"/>
    <w:rsid w:val="425E0ADD"/>
    <w:rsid w:val="46562673"/>
    <w:rsid w:val="488C5052"/>
    <w:rsid w:val="494055B9"/>
    <w:rsid w:val="49E64CEF"/>
    <w:rsid w:val="4CE67BD0"/>
    <w:rsid w:val="4DE4148C"/>
    <w:rsid w:val="4E81659E"/>
    <w:rsid w:val="505C355C"/>
    <w:rsid w:val="50982D4F"/>
    <w:rsid w:val="51493AE0"/>
    <w:rsid w:val="51EB45E7"/>
    <w:rsid w:val="52042055"/>
    <w:rsid w:val="5370740E"/>
    <w:rsid w:val="53D45AB3"/>
    <w:rsid w:val="560662B2"/>
    <w:rsid w:val="589E6FA3"/>
    <w:rsid w:val="5A423193"/>
    <w:rsid w:val="5B7FC44B"/>
    <w:rsid w:val="5BAA01D6"/>
    <w:rsid w:val="5C1F9F38"/>
    <w:rsid w:val="5CE3049A"/>
    <w:rsid w:val="5CEB3A7D"/>
    <w:rsid w:val="5DA103AB"/>
    <w:rsid w:val="5F9B8FBC"/>
    <w:rsid w:val="5F9F63D0"/>
    <w:rsid w:val="60C878F8"/>
    <w:rsid w:val="62DF1FCF"/>
    <w:rsid w:val="644B7717"/>
    <w:rsid w:val="680F5C17"/>
    <w:rsid w:val="6C79142C"/>
    <w:rsid w:val="70730E44"/>
    <w:rsid w:val="70E56423"/>
    <w:rsid w:val="71D70DE5"/>
    <w:rsid w:val="72345C6E"/>
    <w:rsid w:val="730B7A29"/>
    <w:rsid w:val="735E4456"/>
    <w:rsid w:val="73707E90"/>
    <w:rsid w:val="73721C5D"/>
    <w:rsid w:val="74B4797E"/>
    <w:rsid w:val="750106F1"/>
    <w:rsid w:val="765A1294"/>
    <w:rsid w:val="78BF1B72"/>
    <w:rsid w:val="7A117BFB"/>
    <w:rsid w:val="7AAA2F92"/>
    <w:rsid w:val="7F5F7BF5"/>
    <w:rsid w:val="7F7D8BD1"/>
    <w:rsid w:val="7FEF41CC"/>
    <w:rsid w:val="7FFFCA35"/>
    <w:rsid w:val="92FF3B73"/>
    <w:rsid w:val="9FFFDE65"/>
    <w:rsid w:val="BA7B23C6"/>
    <w:rsid w:val="BBFF8BFF"/>
    <w:rsid w:val="BD9F3C61"/>
    <w:rsid w:val="BE7F4CD0"/>
    <w:rsid w:val="BFBA49AF"/>
    <w:rsid w:val="BFE544FB"/>
    <w:rsid w:val="CB4E8B76"/>
    <w:rsid w:val="CD1F6AA3"/>
    <w:rsid w:val="D1FB61CE"/>
    <w:rsid w:val="DF7B9EA6"/>
    <w:rsid w:val="DF7BFF98"/>
    <w:rsid w:val="DFE6A989"/>
    <w:rsid w:val="F37B51B0"/>
    <w:rsid w:val="F7EE8130"/>
    <w:rsid w:val="F7FF4950"/>
    <w:rsid w:val="FD9E725C"/>
    <w:rsid w:val="FDFF61AA"/>
    <w:rsid w:val="FE734873"/>
    <w:rsid w:val="FF36A7C0"/>
    <w:rsid w:val="FF3D5736"/>
    <w:rsid w:val="FFE9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4">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5"/>
    <w:qFormat/>
    <w:uiPriority w:val="0"/>
    <w:rPr>
      <w:rFonts w:ascii="微软雅黑" w:hAnsi="微软雅黑" w:eastAsia="微软雅黑" w:cs="微软雅黑"/>
      <w:sz w:val="31"/>
      <w:szCs w:val="31"/>
      <w:lang w:val="en-US" w:eastAsia="en-US" w:bidi="ar-SA"/>
    </w:rPr>
  </w:style>
  <w:style w:type="paragraph" w:customStyle="1" w:styleId="5">
    <w:name w:val="封面字体3"/>
    <w:next w:val="6"/>
    <w:qFormat/>
    <w:uiPriority w:val="99"/>
    <w:pPr>
      <w:widowControl w:val="0"/>
      <w:spacing w:line="240" w:lineRule="atLeast"/>
      <w:jc w:val="both"/>
    </w:pPr>
    <w:rPr>
      <w:rFonts w:ascii="华文细黑" w:hAnsi="Calibri" w:eastAsia="黑体" w:cs="Times New Roman"/>
      <w:color w:val="800000"/>
      <w:kern w:val="0"/>
      <w:sz w:val="44"/>
      <w:szCs w:val="20"/>
      <w:lang w:val="en-US" w:eastAsia="zh-CN" w:bidi="ar-SA"/>
    </w:rPr>
  </w:style>
  <w:style w:type="paragraph" w:styleId="6">
    <w:name w:val="Body Text Indent"/>
    <w:basedOn w:val="1"/>
    <w:next w:val="1"/>
    <w:qFormat/>
    <w:uiPriority w:val="0"/>
    <w:pPr>
      <w:ind w:firstLine="660"/>
    </w:pPr>
    <w:rPr>
      <w:rFonts w:ascii="楷体_GB2312" w:hAnsi="宋体" w:cs="楷体_GB2312"/>
    </w:rPr>
  </w:style>
  <w:style w:type="paragraph" w:styleId="7">
    <w:name w:val="Plain Text"/>
    <w:basedOn w:val="1"/>
    <w:unhideWhenUsed/>
    <w:qFormat/>
    <w:uiPriority w:val="99"/>
    <w:rPr>
      <w:rFonts w:ascii="宋体" w:hAnsi="Courier New" w:eastAsia="宋体" w:cs="Courier New"/>
      <w:szCs w:val="21"/>
    </w:rPr>
  </w:style>
  <w:style w:type="paragraph" w:styleId="8">
    <w:name w:val="Body Text Indent 2"/>
    <w:basedOn w:val="1"/>
    <w:unhideWhenUsed/>
    <w:qFormat/>
    <w:uiPriority w:val="99"/>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Body Text First Indent 21"/>
    <w:basedOn w:val="17"/>
    <w:next w:val="1"/>
    <w:qFormat/>
    <w:uiPriority w:val="0"/>
    <w:pPr>
      <w:adjustRightInd w:val="0"/>
      <w:snapToGrid w:val="0"/>
      <w:ind w:firstLine="420" w:firstLineChars="200"/>
    </w:pPr>
    <w:rPr>
      <w:rFonts w:ascii="Calibri" w:hAnsi="Calibri"/>
    </w:rPr>
  </w:style>
  <w:style w:type="paragraph" w:customStyle="1" w:styleId="17">
    <w:name w:val="Body Text Indent1"/>
    <w:basedOn w:val="1"/>
    <w:next w:val="16"/>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9173</Words>
  <Characters>9294</Characters>
  <Paragraphs>41</Paragraphs>
  <TotalTime>3</TotalTime>
  <ScaleCrop>false</ScaleCrop>
  <LinksUpToDate>false</LinksUpToDate>
  <CharactersWithSpaces>9402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2023-10-12T00:46:00Z</dcterms:created>
  <dc:creator>User</dc:creator>
  <cp:lastModifiedBy>Administrator</cp:lastModifiedBy>
  <cp:lastPrinted>2025-03-13T01:51:00Z</cp:lastPrinted>
  <dcterms:modified xsi:type="dcterms:W3CDTF">2025-07-29T00:55:34Z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21D7B65190DA4ED890C476AC5C83AE7A_13</vt:lpwstr>
  </property>
  <property fmtid="{D5CDD505-2E9C-101B-9397-08002B2CF9AE}" pid="4" name="KSOTemplateDocerSaveRecord">
    <vt:lpwstr>eyJoZGlkIjoiYzNiMzdhZmVjNjZjM2NhMzIxYzQ2ODQ3YTQ5NzBjOGEifQ==</vt:lpwstr>
  </property>
</Properties>
</file>