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40" w:lineRule="exact"/>
        <w:ind w:left="0" w:right="0" w:firstLine="0"/>
        <w:jc w:val="center"/>
        <w:textAlignment w:val="auto"/>
        <w:rPr>
          <w:rFonts w:hint="eastAsia" w:ascii="方正大标宋简体" w:hAnsi="方正大标宋简体" w:eastAsia="方正大标宋简体" w:cs="方正大标宋简体"/>
          <w:b w:val="0"/>
          <w:bCs/>
          <w:i w:val="0"/>
          <w:caps w:val="0"/>
          <w:color w:val="auto"/>
          <w:spacing w:val="0"/>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40" w:lineRule="exact"/>
        <w:ind w:left="0" w:right="0" w:firstLine="0"/>
        <w:jc w:val="center"/>
        <w:textAlignment w:val="auto"/>
        <w:rPr>
          <w:rFonts w:hint="eastAsia" w:ascii="方正大标宋简体" w:hAnsi="方正大标宋简体" w:eastAsia="方正大标宋简体" w:cs="方正大标宋简体"/>
          <w:b w:val="0"/>
          <w:bCs/>
          <w:i w:val="0"/>
          <w:caps w:val="0"/>
          <w:color w:val="auto"/>
          <w:spacing w:val="0"/>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40" w:lineRule="exact"/>
        <w:ind w:left="0" w:right="0" w:firstLine="0"/>
        <w:jc w:val="center"/>
        <w:textAlignment w:val="auto"/>
        <w:rPr>
          <w:rFonts w:hint="eastAsia" w:ascii="方正大标宋简体" w:hAnsi="方正大标宋简体" w:eastAsia="方正大标宋简体" w:cs="方正大标宋简体"/>
          <w:b w:val="0"/>
          <w:bCs/>
          <w:i w:val="0"/>
          <w:caps w:val="0"/>
          <w:color w:val="auto"/>
          <w:spacing w:val="0"/>
          <w:sz w:val="44"/>
          <w:szCs w:val="44"/>
          <w:lang w:eastAsia="zh-CN"/>
        </w:rPr>
      </w:pPr>
    </w:p>
    <w:p>
      <w:pPr>
        <w:rPr>
          <w:rFonts w:hint="eastAsia"/>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40" w:lineRule="exact"/>
        <w:ind w:left="0" w:right="0" w:firstLine="0"/>
        <w:jc w:val="center"/>
        <w:textAlignment w:val="auto"/>
        <w:rPr>
          <w:rFonts w:hint="eastAsia" w:ascii="方正大标宋简体" w:hAnsi="方正大标宋简体" w:eastAsia="方正大标宋简体" w:cs="方正大标宋简体"/>
          <w:b w:val="0"/>
          <w:bCs/>
          <w:i w:val="0"/>
          <w:caps w:val="0"/>
          <w:color w:val="auto"/>
          <w:spacing w:val="0"/>
          <w:sz w:val="44"/>
          <w:szCs w:val="44"/>
        </w:rPr>
      </w:pPr>
      <w:r>
        <w:rPr>
          <w:rFonts w:hint="eastAsia" w:ascii="方正大标宋简体" w:hAnsi="方正大标宋简体" w:eastAsia="方正大标宋简体" w:cs="方正大标宋简体"/>
          <w:b w:val="0"/>
          <w:bCs/>
          <w:i w:val="0"/>
          <w:caps w:val="0"/>
          <w:color w:val="auto"/>
          <w:spacing w:val="0"/>
          <w:sz w:val="44"/>
          <w:szCs w:val="44"/>
          <w:lang w:eastAsia="zh-CN"/>
        </w:rPr>
        <w:t>大冶市信访局</w:t>
      </w:r>
      <w:r>
        <w:rPr>
          <w:rFonts w:hint="eastAsia" w:ascii="方正大标宋简体" w:hAnsi="方正大标宋简体" w:eastAsia="方正大标宋简体" w:cs="方正大标宋简体"/>
          <w:b w:val="0"/>
          <w:bCs/>
          <w:i w:val="0"/>
          <w:caps w:val="0"/>
          <w:color w:val="auto"/>
          <w:spacing w:val="0"/>
          <w:sz w:val="44"/>
          <w:szCs w:val="44"/>
        </w:rPr>
        <w:t>20</w:t>
      </w:r>
      <w:r>
        <w:rPr>
          <w:rFonts w:hint="eastAsia" w:ascii="方正大标宋简体" w:hAnsi="方正大标宋简体" w:eastAsia="方正大标宋简体" w:cs="方正大标宋简体"/>
          <w:b w:val="0"/>
          <w:bCs/>
          <w:i w:val="0"/>
          <w:caps w:val="0"/>
          <w:color w:val="auto"/>
          <w:spacing w:val="0"/>
          <w:sz w:val="44"/>
          <w:szCs w:val="44"/>
          <w:lang w:val="en-US" w:eastAsia="zh-CN"/>
        </w:rPr>
        <w:t>20</w:t>
      </w:r>
      <w:r>
        <w:rPr>
          <w:rFonts w:hint="eastAsia" w:ascii="方正大标宋简体" w:hAnsi="方正大标宋简体" w:eastAsia="方正大标宋简体" w:cs="方正大标宋简体"/>
          <w:b w:val="0"/>
          <w:bCs/>
          <w:i w:val="0"/>
          <w:caps w:val="0"/>
          <w:color w:val="auto"/>
          <w:spacing w:val="0"/>
          <w:sz w:val="44"/>
          <w:szCs w:val="44"/>
        </w:rPr>
        <w:t>年政府信息公开工作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40" w:lineRule="exact"/>
        <w:ind w:left="0" w:right="0" w:firstLine="0"/>
        <w:jc w:val="center"/>
        <w:textAlignment w:val="auto"/>
        <w:rPr>
          <w:rFonts w:hint="eastAsia" w:ascii="CESI仿宋-GB2312" w:hAnsi="CESI仿宋-GB2312" w:eastAsia="CESI仿宋-GB2312" w:cs="CESI仿宋-GB2312"/>
          <w:b w:val="0"/>
          <w:bCs/>
          <w:i w:val="0"/>
          <w:caps w:val="0"/>
          <w:color w:val="auto"/>
          <w:spacing w:val="0"/>
          <w:sz w:val="32"/>
          <w:szCs w:val="32"/>
        </w:rPr>
      </w:pPr>
      <w:r>
        <w:rPr>
          <w:rFonts w:hint="eastAsia" w:ascii="方正大标宋简体" w:hAnsi="方正大标宋简体" w:eastAsia="方正大标宋简体" w:cs="方正大标宋简体"/>
          <w:b w:val="0"/>
          <w:bCs/>
          <w:i w:val="0"/>
          <w:caps w:val="0"/>
          <w:color w:val="auto"/>
          <w:spacing w:val="0"/>
          <w:sz w:val="44"/>
          <w:szCs w:val="44"/>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CESI仿宋-GB2312" w:hAnsi="CESI仿宋-GB2312" w:eastAsia="CESI仿宋-GB2312" w:cs="CESI仿宋-GB2312"/>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rPr>
        <w:t>根据《中华人民共和国政府信息公开条例》(国务院令第711号，以下简称《条例》)和《国务院办公厅政府信息与政务公开办公室关于政府信息公开工作年度报告有关事项的通知》（国办公开办函〔2019〕60号）要求，</w:t>
      </w:r>
      <w:r>
        <w:rPr>
          <w:rFonts w:hint="eastAsia" w:ascii="仿宋_GB2312" w:hAnsi="仿宋_GB2312" w:eastAsia="仿宋_GB2312" w:cs="仿宋_GB2312"/>
          <w:i w:val="0"/>
          <w:caps w:val="0"/>
          <w:color w:val="auto"/>
          <w:spacing w:val="0"/>
          <w:sz w:val="32"/>
          <w:szCs w:val="32"/>
          <w:lang w:eastAsia="zh-CN"/>
        </w:rPr>
        <w:t>现将我局</w:t>
      </w:r>
      <w:r>
        <w:rPr>
          <w:rFonts w:hint="eastAsia" w:ascii="仿宋_GB2312" w:hAnsi="仿宋_GB2312" w:eastAsia="仿宋_GB2312" w:cs="仿宋_GB2312"/>
          <w:i w:val="0"/>
          <w:caps w:val="0"/>
          <w:color w:val="auto"/>
          <w:spacing w:val="0"/>
          <w:sz w:val="32"/>
          <w:szCs w:val="32"/>
        </w:rPr>
        <w:t>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年政府信息公开工作情况</w:t>
      </w:r>
      <w:r>
        <w:rPr>
          <w:rFonts w:hint="eastAsia" w:ascii="仿宋_GB2312" w:hAnsi="仿宋_GB2312" w:eastAsia="仿宋_GB2312" w:cs="仿宋_GB2312"/>
          <w:i w:val="0"/>
          <w:caps w:val="0"/>
          <w:color w:val="auto"/>
          <w:spacing w:val="0"/>
          <w:sz w:val="32"/>
          <w:szCs w:val="32"/>
          <w:lang w:eastAsia="zh-CN"/>
        </w:rPr>
        <w:t>报告如下（</w:t>
      </w:r>
      <w:r>
        <w:rPr>
          <w:rFonts w:hint="eastAsia" w:ascii="仿宋_GB2312" w:hAnsi="仿宋_GB2312" w:eastAsia="仿宋_GB2312" w:cs="仿宋_GB2312"/>
          <w:i w:val="0"/>
          <w:caps w:val="0"/>
          <w:color w:val="auto"/>
          <w:spacing w:val="0"/>
          <w:sz w:val="32"/>
          <w:szCs w:val="32"/>
        </w:rPr>
        <w:t>报告中所列数据的统计期限为20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年1月1日至20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年12月31日</w:t>
      </w:r>
      <w:r>
        <w:rPr>
          <w:rFonts w:hint="eastAsia" w:ascii="仿宋_GB2312" w:hAnsi="仿宋_GB2312" w:eastAsia="仿宋_GB2312" w:cs="仿宋_GB2312"/>
          <w:i w:val="0"/>
          <w:caps w:val="0"/>
          <w:color w:val="auto"/>
          <w:spacing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lang w:eastAsia="zh-CN"/>
        </w:rPr>
      </w:pPr>
      <w:r>
        <w:rPr>
          <w:rFonts w:hint="eastAsia" w:ascii="黑体" w:hAnsi="黑体" w:eastAsia="黑体" w:cs="黑体"/>
          <w:b w:val="0"/>
          <w:bCs w:val="0"/>
          <w:i w:val="0"/>
          <w:caps w:val="0"/>
          <w:color w:val="auto"/>
          <w:spacing w:val="0"/>
          <w:sz w:val="32"/>
          <w:szCs w:val="32"/>
          <w:lang w:eastAsia="zh-CN"/>
        </w:rPr>
        <w:t>总体情况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根据政府信息公开的有关要求，2020年度，我局认真贯彻《中华人民共和国政府公开条例》（以下简称《条例》）的各项要求，扎实推进政府信息公开工作：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一是提高认识。深刻认识到信息公开工作是时代发展和政务公开的需求，更是宣传展示本单位工作成果的重要抓手，领导班子成员和各科室信息公开意识不断强化，做好信息宣传工作的自觉性和主动性不断增强。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二是规范公开。进一步建立健全了政府信息公开运作机制，加强了主要领导审核、分管领导负责、工作人员具体操作的操作流程，确保了信息公开的规范化、有序化。</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三是内容透明。严格按照《国务院办公厅政府信息公开指南》，主动公开信息的公开范围、公开形式、公开时限、操作程序等。做到主动公开、程序规范、及时发布。</w:t>
      </w:r>
    </w:p>
    <w:p>
      <w:pPr>
        <w:keepNext w:val="0"/>
        <w:keepLines w:val="0"/>
        <w:pageBreakBefore w:val="0"/>
        <w:widowControl w:val="0"/>
        <w:numPr>
          <w:numId w:val="0"/>
        </w:numPr>
        <w:tabs>
          <w:tab w:val="left" w:pos="63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1、依申请公开信息情况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2020年度，大冶市信访局无依申请公开的政府信息。</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2、行政复议或提起行政诉讼的情况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lang w:val="en-US" w:eastAsia="zh-CN"/>
        </w:rPr>
        <w:t>2020年度，没有发生针对大冶市信访局政府信息公开有关的行政复议和行政诉讼。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二、行政机关主动公开政府信息情况</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3"/>
        <w:gridCol w:w="2097"/>
        <w:gridCol w:w="1290"/>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制作数量</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公开数量</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规章</w:t>
            </w:r>
            <w:r>
              <w:rPr>
                <w:rFonts w:hint="eastAsia" w:ascii="宋体" w:hAnsi="宋体" w:cs="宋体"/>
                <w:color w:val="000000"/>
                <w:kern w:val="0"/>
                <w:sz w:val="21"/>
                <w:szCs w:val="21"/>
                <w:lang w:eastAsia="zh-CN"/>
              </w:rPr>
              <w:t>（设区的市、自治州人民政府应提供相关数据）</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cs="宋体"/>
                <w:color w:val="000000"/>
                <w:kern w:val="0"/>
                <w:sz w:val="21"/>
                <w:szCs w:val="21"/>
                <w:lang w:eastAsia="zh-CN"/>
              </w:rPr>
              <w:t>规范性文件（行政机关制定发布的决定、公告、通告、意见、通知，以及标题采用“规定”“办法”“细则”“规范”“规程”“规则”等字样的公文，一般情况下属于规范性文件）</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其他主动公开文件（含以本单位或本单位办公室名义正式签发的、除规范性文件以外的主动公开文件，可参考本单位政府信息公开平台“其他主动公开文件”栏目数据）</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行政许可</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其他对外管理服务事项</w:t>
            </w:r>
            <w:r>
              <w:rPr>
                <w:rFonts w:hint="eastAsia" w:ascii="宋体" w:hAnsi="宋体" w:eastAsia="宋体" w:cs="宋体"/>
                <w:color w:val="333333"/>
                <w:kern w:val="0"/>
                <w:sz w:val="21"/>
                <w:szCs w:val="21"/>
                <w:lang w:eastAsia="zh-CN"/>
              </w:rPr>
              <w:t>（</w:t>
            </w:r>
            <w:r>
              <w:rPr>
                <w:rFonts w:hint="eastAsia" w:ascii="宋体" w:hAnsi="宋体" w:eastAsia="宋体" w:cs="宋体"/>
                <w:color w:val="333333"/>
                <w:kern w:val="0"/>
                <w:sz w:val="21"/>
                <w:szCs w:val="21"/>
                <w:lang w:val="en-US" w:eastAsia="zh-CN"/>
              </w:rPr>
              <w:t>指行政许可以外的政务服务事项</w:t>
            </w:r>
            <w:r>
              <w:rPr>
                <w:rFonts w:hint="eastAsia" w:ascii="宋体" w:hAnsi="宋体" w:cs="宋体"/>
                <w:color w:val="333333"/>
                <w:kern w:val="0"/>
                <w:sz w:val="21"/>
                <w:szCs w:val="21"/>
                <w:lang w:val="en-US" w:eastAsia="zh-CN"/>
              </w:rPr>
              <w:t>，</w:t>
            </w:r>
            <w:r>
              <w:rPr>
                <w:rFonts w:hint="eastAsia" w:ascii="宋体" w:hAnsi="宋体" w:eastAsia="宋体" w:cs="宋体"/>
                <w:color w:val="333333"/>
                <w:kern w:val="0"/>
                <w:sz w:val="21"/>
                <w:szCs w:val="21"/>
                <w:lang w:val="en-US" w:eastAsia="zh-CN"/>
              </w:rPr>
              <w:t>含行政确认、行政奖励、行政裁决、行政给付、行政处罚、行政强制、行政检查、行政征收</w:t>
            </w:r>
            <w:r>
              <w:rPr>
                <w:rFonts w:hint="eastAsia" w:ascii="宋体" w:hAnsi="宋体" w:cs="宋体"/>
                <w:color w:val="333333"/>
                <w:kern w:val="0"/>
                <w:sz w:val="21"/>
                <w:szCs w:val="21"/>
                <w:lang w:val="en-US" w:eastAsia="zh-CN"/>
              </w:rPr>
              <w:t>和</w:t>
            </w:r>
            <w:r>
              <w:rPr>
                <w:rFonts w:hint="eastAsia" w:ascii="宋体" w:hAnsi="宋体" w:eastAsia="宋体" w:cs="宋体"/>
                <w:color w:val="333333"/>
                <w:kern w:val="0"/>
                <w:sz w:val="21"/>
                <w:szCs w:val="21"/>
                <w:lang w:val="en-US" w:eastAsia="zh-CN"/>
              </w:rPr>
              <w:t>其他</w:t>
            </w:r>
            <w:r>
              <w:rPr>
                <w:rFonts w:hint="eastAsia" w:ascii="宋体" w:hAnsi="宋体" w:cs="宋体"/>
                <w:color w:val="333333"/>
                <w:kern w:val="0"/>
                <w:sz w:val="21"/>
                <w:szCs w:val="21"/>
                <w:lang w:val="en-US" w:eastAsia="zh-CN"/>
              </w:rPr>
              <w:t>类，以及</w:t>
            </w:r>
            <w:r>
              <w:rPr>
                <w:rFonts w:hint="eastAsia" w:ascii="宋体" w:hAnsi="宋体" w:eastAsia="宋体" w:cs="宋体"/>
                <w:color w:val="333333"/>
                <w:kern w:val="0"/>
                <w:sz w:val="21"/>
                <w:szCs w:val="21"/>
                <w:lang w:val="en-US" w:eastAsia="zh-CN"/>
              </w:rPr>
              <w:t>公共服务事项</w:t>
            </w:r>
            <w:r>
              <w:rPr>
                <w:rFonts w:hint="eastAsia" w:ascii="宋体" w:hAnsi="宋体" w:eastAsia="宋体" w:cs="宋体"/>
                <w:color w:val="333333"/>
                <w:kern w:val="0"/>
                <w:sz w:val="21"/>
                <w:szCs w:val="21"/>
                <w:lang w:eastAsia="zh-CN"/>
              </w:rPr>
              <w:t>）</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行政处罚</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行政强制</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2019年收费项目数</w:t>
            </w:r>
            <w:r>
              <w:rPr>
                <w:rFonts w:hint="eastAsia" w:ascii="宋体" w:hAnsi="宋体" w:cs="宋体"/>
                <w:color w:val="000000"/>
                <w:kern w:val="0"/>
                <w:sz w:val="21"/>
                <w:szCs w:val="21"/>
                <w:lang w:eastAsia="zh-CN"/>
              </w:rPr>
              <w:t>）</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2020年增加的收费项目数，减用负值表示，如-8</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行政事业性收费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2020年以政府集中采购方式采购的项目总个数</w:t>
            </w:r>
            <w:r>
              <w:rPr>
                <w:rFonts w:hint="eastAsia" w:ascii="宋体" w:hAnsi="宋体" w:cs="宋体"/>
                <w:color w:val="000000"/>
                <w:kern w:val="0"/>
                <w:sz w:val="21"/>
                <w:szCs w:val="21"/>
                <w:lang w:eastAsia="zh-CN"/>
              </w:rPr>
              <w:t>）</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采购总金额</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2020年以政府集中采购方式采购的项目已支付的总金额</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政府集中采购</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22"/>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自然人</w:t>
            </w:r>
          </w:p>
        </w:tc>
        <w:tc>
          <w:tcPr>
            <w:tcW w:w="370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法人或其他组织</w:t>
            </w:r>
          </w:p>
        </w:tc>
        <w:tc>
          <w:tcPr>
            <w:tcW w:w="65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商业企业</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科研机构</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社会公益组织</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法律服务机构</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其他</w:t>
            </w:r>
          </w:p>
        </w:tc>
        <w:tc>
          <w:tcPr>
            <w:tcW w:w="65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一、本年新收政府信息公开申请数量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二、上年结转政府信息公开申请数量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三、本年度办理结果</w:t>
            </w: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（一）予以公开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（三）不予公开</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1.属于国家秘密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2.其他法律行政法规禁止公开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3.危及“三安全一稳定”</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4.保护第三方合法权益</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5.属于三类内部事务信息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6.属于四类过程性信息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7.属于行政执法案卷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8.属于行政查询事项</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（四）无法提供</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1.本机关不掌握相关政府信息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2.没有现成信息需要另行制作</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3.补正后申请内容仍不明确</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（五）不予处理</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1.信访举报投诉类申请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3.要求提供公开出版物</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4.无正当理由大量反复申请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（六）其他处理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（七）总计</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四、结转下年度继续办理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四、因政府信息公开工作被申请行政复议、提起行政诉讼情况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8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5638"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62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279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284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62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Cs w:val="21"/>
                <w:lang w:val="en-US" w:eastAsia="zh-CN"/>
              </w:rPr>
            </w:pPr>
            <w:r>
              <w:rPr>
                <w:rFonts w:hint="eastAsia" w:ascii="宋体" w:hAnsi="宋体" w:cs="宋体"/>
                <w:color w:val="333333"/>
                <w:kern w:val="0"/>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i w:val="0"/>
          <w:caps w:val="0"/>
          <w:color w:val="auto"/>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lang w:eastAsia="zh-CN"/>
        </w:rPr>
      </w:pPr>
      <w:r>
        <w:rPr>
          <w:rFonts w:hint="eastAsia" w:ascii="黑体" w:hAnsi="黑体" w:eastAsia="黑体" w:cs="黑体"/>
          <w:b w:val="0"/>
          <w:bCs w:val="0"/>
          <w:i w:val="0"/>
          <w:caps w:val="0"/>
          <w:color w:val="auto"/>
          <w:spacing w:val="0"/>
          <w:sz w:val="32"/>
          <w:szCs w:val="32"/>
          <w:lang w:eastAsia="zh-CN"/>
        </w:rPr>
        <w:t>五、其他报告事项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i w:val="0"/>
          <w:caps w:val="0"/>
          <w:color w:val="auto"/>
          <w:spacing w:val="0"/>
          <w:sz w:val="32"/>
          <w:szCs w:val="32"/>
          <w:lang w:eastAsia="zh-CN"/>
        </w:rPr>
      </w:pPr>
      <w:r>
        <w:rPr>
          <w:rFonts w:hint="eastAsia" w:ascii="楷体" w:hAnsi="楷体" w:eastAsia="楷体" w:cs="楷体"/>
          <w:b/>
          <w:bCs/>
          <w:i w:val="0"/>
          <w:caps w:val="0"/>
          <w:color w:val="auto"/>
          <w:spacing w:val="0"/>
          <w:sz w:val="32"/>
          <w:szCs w:val="32"/>
          <w:lang w:val="en-US" w:eastAsia="zh-CN"/>
        </w:rPr>
        <w:t>(一）</w:t>
      </w:r>
      <w:r>
        <w:rPr>
          <w:rFonts w:hint="eastAsia" w:ascii="楷体" w:hAnsi="楷体" w:eastAsia="楷体" w:cs="楷体"/>
          <w:b/>
          <w:bCs/>
          <w:i w:val="0"/>
          <w:caps w:val="0"/>
          <w:color w:val="auto"/>
          <w:spacing w:val="0"/>
          <w:sz w:val="32"/>
          <w:szCs w:val="32"/>
          <w:lang w:eastAsia="zh-CN"/>
        </w:rPr>
        <w:t>基本概况。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大冶市信访局位于大冶市湖滨大道</w:t>
      </w:r>
      <w:r>
        <w:rPr>
          <w:rFonts w:hint="eastAsia" w:ascii="仿宋_GB2312" w:hAnsi="仿宋_GB2312" w:eastAsia="仿宋_GB2312" w:cs="仿宋_GB2312"/>
          <w:i w:val="0"/>
          <w:caps w:val="0"/>
          <w:color w:val="auto"/>
          <w:spacing w:val="0"/>
          <w:sz w:val="32"/>
          <w:szCs w:val="32"/>
          <w:lang w:val="en-US" w:eastAsia="zh-CN"/>
        </w:rPr>
        <w:t>17号，是市委工作机关，为正科级。主要工作职责为：</w:t>
      </w:r>
    </w:p>
    <w:p>
      <w:pPr>
        <w:keepNext w:val="0"/>
        <w:keepLines w:val="0"/>
        <w:pageBreakBefore w:val="0"/>
        <w:widowControl w:val="0"/>
        <w:kinsoku/>
        <w:wordWrap/>
        <w:overflowPunct/>
        <w:topLinePunct w:val="0"/>
        <w:autoSpaceDE/>
        <w:autoSpaceDN/>
        <w:bidi w:val="0"/>
        <w:adjustRightInd w:val="0"/>
        <w:snapToGrid w:val="0"/>
        <w:spacing w:line="540" w:lineRule="exact"/>
        <w:ind w:firstLine="854" w:firstLineChars="267"/>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lang w:eastAsia="zh-CN"/>
        </w:rPr>
        <w:t>负责全市信访工作的综合管理。协助市委、市政府部署、检查和指导全市的信访工作；组织交流和推广信访工作经验；培训信访干部；制定信访工作管理规定。</w:t>
      </w:r>
    </w:p>
    <w:p>
      <w:pPr>
        <w:keepNext w:val="0"/>
        <w:keepLines w:val="0"/>
        <w:pageBreakBefore w:val="0"/>
        <w:widowControl w:val="0"/>
        <w:kinsoku/>
        <w:wordWrap/>
        <w:overflowPunct/>
        <w:topLinePunct w:val="0"/>
        <w:autoSpaceDE/>
        <w:autoSpaceDN/>
        <w:bidi w:val="0"/>
        <w:adjustRightInd w:val="0"/>
        <w:snapToGrid w:val="0"/>
        <w:spacing w:line="540" w:lineRule="exact"/>
        <w:ind w:firstLine="854" w:firstLineChars="267"/>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lang w:eastAsia="zh-CN"/>
        </w:rPr>
        <w:t xml:space="preserve">按照《信访条例》等有关规定，办理人民群众通过写信、走访、网上信访等方式反映的信访事项，按照“属地管理、分级负责”、“谁主管、谁负责”的原则，向有关地方和部门转送、交办，并督促检查办理情况。 </w:t>
      </w:r>
    </w:p>
    <w:p>
      <w:pPr>
        <w:keepNext w:val="0"/>
        <w:keepLines w:val="0"/>
        <w:pageBreakBefore w:val="0"/>
        <w:widowControl w:val="0"/>
        <w:kinsoku/>
        <w:wordWrap/>
        <w:overflowPunct/>
        <w:topLinePunct w:val="0"/>
        <w:autoSpaceDE/>
        <w:autoSpaceDN/>
        <w:bidi w:val="0"/>
        <w:adjustRightInd w:val="0"/>
        <w:snapToGrid w:val="0"/>
        <w:spacing w:line="540" w:lineRule="exact"/>
        <w:ind w:firstLine="537" w:firstLineChars="168"/>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 xml:space="preserve"> </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承办上级机关向市委、市政府交办的信访事项和市委、市政府及其领导同志交办的重要信访事项，责成有关地方和部门协调处理，督促检查处理落实情况，按时上报处理结果。</w:t>
      </w:r>
    </w:p>
    <w:p>
      <w:pPr>
        <w:keepNext w:val="0"/>
        <w:keepLines w:val="0"/>
        <w:pageBreakBefore w:val="0"/>
        <w:widowControl w:val="0"/>
        <w:kinsoku/>
        <w:wordWrap/>
        <w:overflowPunct/>
        <w:topLinePunct w:val="0"/>
        <w:autoSpaceDE/>
        <w:autoSpaceDN/>
        <w:bidi w:val="0"/>
        <w:adjustRightInd w:val="0"/>
        <w:snapToGrid w:val="0"/>
        <w:spacing w:line="540" w:lineRule="exact"/>
        <w:ind w:firstLine="537" w:firstLineChars="168"/>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4、</w:t>
      </w:r>
      <w:r>
        <w:rPr>
          <w:rFonts w:hint="eastAsia" w:ascii="仿宋_GB2312" w:hAnsi="仿宋_GB2312" w:eastAsia="仿宋_GB2312" w:cs="仿宋_GB2312"/>
          <w:i w:val="0"/>
          <w:caps w:val="0"/>
          <w:color w:val="auto"/>
          <w:spacing w:val="0"/>
          <w:sz w:val="32"/>
          <w:szCs w:val="32"/>
          <w:lang w:eastAsia="zh-CN"/>
        </w:rPr>
        <w:t>督促协调重大疑难信访案件，对群众提出的复查信访事项进行全面复查，向有关单位提出“改进工作”、“完善政策解决问题”和“给予行政处分”的建议。</w:t>
      </w:r>
    </w:p>
    <w:p>
      <w:pPr>
        <w:keepNext w:val="0"/>
        <w:keepLines w:val="0"/>
        <w:pageBreakBefore w:val="0"/>
        <w:widowControl w:val="0"/>
        <w:kinsoku/>
        <w:wordWrap/>
        <w:overflowPunct/>
        <w:topLinePunct w:val="0"/>
        <w:autoSpaceDE/>
        <w:autoSpaceDN/>
        <w:bidi w:val="0"/>
        <w:adjustRightInd w:val="0"/>
        <w:snapToGrid w:val="0"/>
        <w:spacing w:line="540" w:lineRule="exact"/>
        <w:ind w:firstLine="537" w:firstLineChars="168"/>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5、</w:t>
      </w:r>
      <w:r>
        <w:rPr>
          <w:rFonts w:hint="eastAsia" w:ascii="仿宋_GB2312" w:hAnsi="仿宋_GB2312" w:eastAsia="仿宋_GB2312" w:cs="仿宋_GB2312"/>
          <w:i w:val="0"/>
          <w:caps w:val="0"/>
          <w:color w:val="auto"/>
          <w:spacing w:val="0"/>
          <w:sz w:val="32"/>
          <w:szCs w:val="32"/>
          <w:lang w:eastAsia="zh-CN"/>
        </w:rPr>
        <w:t>向市委、市政府及其领导同志提供信访事项中的重要信息，及时反映倾向性、动态性问题和影响社会稳定的事件。</w:t>
      </w:r>
    </w:p>
    <w:p>
      <w:pPr>
        <w:keepNext w:val="0"/>
        <w:keepLines w:val="0"/>
        <w:pageBreakBefore w:val="0"/>
        <w:widowControl w:val="0"/>
        <w:kinsoku/>
        <w:wordWrap/>
        <w:overflowPunct/>
        <w:topLinePunct w:val="0"/>
        <w:autoSpaceDE/>
        <w:autoSpaceDN/>
        <w:bidi w:val="0"/>
        <w:adjustRightInd w:val="0"/>
        <w:snapToGrid w:val="0"/>
        <w:spacing w:line="540" w:lineRule="exact"/>
        <w:ind w:firstLine="537" w:firstLineChars="168"/>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6、</w:t>
      </w:r>
      <w:r>
        <w:rPr>
          <w:rFonts w:hint="eastAsia" w:ascii="仿宋_GB2312" w:hAnsi="仿宋_GB2312" w:eastAsia="仿宋_GB2312" w:cs="仿宋_GB2312"/>
          <w:i w:val="0"/>
          <w:caps w:val="0"/>
          <w:color w:val="auto"/>
          <w:spacing w:val="0"/>
          <w:sz w:val="32"/>
          <w:szCs w:val="32"/>
          <w:lang w:eastAsia="zh-CN"/>
        </w:rPr>
        <w:t>分析预测信访形势，对信访事项中反映的政策性问题进行调查研究，征集人民群众合理化建议，为市委、市政府领导决策当好参谋。</w:t>
      </w:r>
    </w:p>
    <w:p>
      <w:pPr>
        <w:keepNext w:val="0"/>
        <w:keepLines w:val="0"/>
        <w:pageBreakBefore w:val="0"/>
        <w:widowControl w:val="0"/>
        <w:kinsoku/>
        <w:wordWrap/>
        <w:overflowPunct/>
        <w:topLinePunct w:val="0"/>
        <w:autoSpaceDE/>
        <w:autoSpaceDN/>
        <w:bidi w:val="0"/>
        <w:adjustRightInd w:val="0"/>
        <w:snapToGrid w:val="0"/>
        <w:spacing w:line="560" w:lineRule="exact"/>
        <w:ind w:firstLine="537" w:firstLineChars="168"/>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7、</w:t>
      </w:r>
      <w:r>
        <w:rPr>
          <w:rFonts w:hint="eastAsia" w:ascii="仿宋_GB2312" w:hAnsi="仿宋_GB2312" w:eastAsia="仿宋_GB2312" w:cs="仿宋_GB2312"/>
          <w:i w:val="0"/>
          <w:caps w:val="0"/>
          <w:color w:val="auto"/>
          <w:spacing w:val="0"/>
          <w:sz w:val="32"/>
          <w:szCs w:val="32"/>
          <w:lang w:eastAsia="zh-CN"/>
        </w:rPr>
        <w:t>完成上级交办的其他任务。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目前，大冶市信访局内设办公室、办信股、复查督办股三个股室，下辖市群众来访接待中心和市网络信访中心两个副科级事业单位。办公时间为：每日上午8点至下午6点，办公室电话为：0714-8724368,主要负责人：曹光辉，职务是：市委办副主任、市信访局党支部书记、局长。</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321" w:firstLineChars="100"/>
        <w:jc w:val="both"/>
        <w:textAlignment w:val="auto"/>
        <w:rPr>
          <w:rFonts w:hint="eastAsia" w:ascii="楷体" w:hAnsi="楷体" w:eastAsia="楷体" w:cs="楷体"/>
          <w:b/>
          <w:bCs/>
          <w:i w:val="0"/>
          <w:caps w:val="0"/>
          <w:color w:val="auto"/>
          <w:spacing w:val="0"/>
          <w:sz w:val="32"/>
          <w:szCs w:val="32"/>
          <w:lang w:val="en-US" w:eastAsia="zh-CN"/>
        </w:rPr>
      </w:pPr>
      <w:r>
        <w:rPr>
          <w:rFonts w:hint="eastAsia" w:ascii="楷体" w:hAnsi="楷体" w:eastAsia="楷体" w:cs="楷体"/>
          <w:b/>
          <w:bCs/>
          <w:i w:val="0"/>
          <w:caps w:val="0"/>
          <w:color w:val="auto"/>
          <w:spacing w:val="0"/>
          <w:sz w:val="32"/>
          <w:szCs w:val="32"/>
          <w:lang w:val="en-US" w:eastAsia="zh-CN"/>
        </w:rPr>
        <w:t>（二）财政预决算情况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2020年财政拨款收入为692.49万元，其中基本支出拨款365.25万元，项目经费拨款327.24万元。比年初预算426.11万元多266.38万元，其中，基本支出多拨9.14万元，主要原因人员晋级晋档调资，项目支出多拨257.4万元，主要原因是2019年信访解难资金在2020年拨付。预算执行数为655.52万元，其中基本支出为358.69万元，占总支出54.72%；项目支出296.83万元，占总支出45.28%。与上年决算数659.27万元相比增加了3.75万元，其中：基本支出比上年减少了16.91万元，项目支出比上年增加了13.16万元。2020年三公经费支出0.15万元，其中：公务接待费为0.15万元（省信访厅督查员来冶督查工作），无公务用车运行维护费用。公务接待费比年初预算减少0.35万元，比上年增加了0.15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i w:val="0"/>
          <w:caps w:val="0"/>
          <w:color w:val="auto"/>
          <w:spacing w:val="0"/>
          <w:sz w:val="32"/>
          <w:szCs w:val="32"/>
          <w:lang w:val="en-US" w:eastAsia="zh-CN"/>
        </w:rPr>
      </w:pPr>
      <w:r>
        <w:rPr>
          <w:rFonts w:hint="eastAsia" w:ascii="楷体" w:hAnsi="楷体" w:eastAsia="楷体" w:cs="楷体"/>
          <w:b/>
          <w:bCs/>
          <w:i w:val="0"/>
          <w:caps w:val="0"/>
          <w:color w:val="auto"/>
          <w:spacing w:val="0"/>
          <w:sz w:val="32"/>
          <w:szCs w:val="32"/>
          <w:lang w:val="en-US" w:eastAsia="zh-CN"/>
        </w:rPr>
        <w:t>（三）“信、访、网”基本情况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964" w:firstLineChars="3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群众来信情况。</w:t>
      </w:r>
      <w:r>
        <w:rPr>
          <w:rFonts w:hint="eastAsia" w:ascii="仿宋_GB2312" w:hAnsi="仿宋_GB2312" w:eastAsia="仿宋_GB2312" w:cs="仿宋_GB2312"/>
          <w:color w:val="auto"/>
          <w:sz w:val="32"/>
          <w:szCs w:val="32"/>
          <w:lang w:val="en-US" w:eastAsia="zh-CN"/>
        </w:rPr>
        <w:t>2020年，大冶市信访局共收到各级来信387件，其中中央脱贫攻坚专项巡视“回头看”交办件5件、中央第二巡视组交办件5批64件，国家、省、黄石市274件，本级群众来信31件、市“四大家”和纪委交办件13件，已全部按规定登记并转送、交办责任部门办理。人民网“地方领导留言板”信访事项220件，所有信访事项全部转送交办相关单位处理并回复，办结率达100%</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来访接待情况。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年，大冶市群众来访接待中心共接待群众来访</w:t>
      </w:r>
      <w:r>
        <w:rPr>
          <w:rFonts w:hint="eastAsia" w:ascii="仿宋_GB2312" w:hAnsi="仿宋_GB2312" w:eastAsia="仿宋_GB2312" w:cs="仿宋_GB2312"/>
          <w:color w:val="auto"/>
          <w:sz w:val="32"/>
          <w:szCs w:val="32"/>
          <w:lang w:val="en-US" w:eastAsia="zh-CN"/>
        </w:rPr>
        <w:t>845</w:t>
      </w:r>
      <w:r>
        <w:rPr>
          <w:rFonts w:hint="eastAsia" w:ascii="仿宋_GB2312" w:hAnsi="仿宋_GB2312" w:eastAsia="仿宋_GB2312" w:cs="仿宋_GB2312"/>
          <w:b w:val="0"/>
          <w:bCs w:val="0"/>
          <w:color w:val="auto"/>
          <w:kern w:val="0"/>
          <w:sz w:val="32"/>
          <w:szCs w:val="32"/>
        </w:rPr>
        <w:t>批</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1</w:t>
      </w:r>
      <w:r>
        <w:rPr>
          <w:rFonts w:hint="eastAsia" w:ascii="仿宋_GB2312" w:hAnsi="仿宋_GB2312" w:eastAsia="仿宋_GB2312" w:cs="仿宋_GB2312"/>
          <w:b w:val="0"/>
          <w:bCs w:val="0"/>
          <w:color w:val="auto"/>
          <w:kern w:val="0"/>
          <w:sz w:val="32"/>
          <w:szCs w:val="32"/>
          <w:lang w:val="en-US" w:eastAsia="zh-CN"/>
        </w:rPr>
        <w:t>949人次，</w:t>
      </w:r>
      <w:r>
        <w:rPr>
          <w:rFonts w:hint="eastAsia" w:ascii="仿宋_GB2312" w:hAnsi="仿宋_GB2312" w:eastAsia="仿宋_GB2312" w:cs="仿宋_GB2312"/>
          <w:color w:val="auto"/>
          <w:sz w:val="32"/>
          <w:szCs w:val="32"/>
        </w:rPr>
        <w:t>其中，集体访</w:t>
      </w:r>
      <w:r>
        <w:rPr>
          <w:rFonts w:hint="eastAsia" w:ascii="仿宋_GB2312" w:hAnsi="仿宋_GB2312" w:eastAsia="仿宋_GB2312" w:cs="仿宋_GB2312"/>
          <w:color w:val="auto"/>
          <w:sz w:val="32"/>
          <w:szCs w:val="32"/>
          <w:lang w:val="en-US" w:eastAsia="zh-CN"/>
        </w:rPr>
        <w:t>63</w:t>
      </w:r>
      <w:r>
        <w:rPr>
          <w:rFonts w:hint="eastAsia" w:ascii="仿宋_GB2312" w:hAnsi="仿宋_GB2312" w:eastAsia="仿宋_GB2312" w:cs="仿宋_GB2312"/>
          <w:color w:val="auto"/>
          <w:sz w:val="32"/>
          <w:szCs w:val="32"/>
        </w:rPr>
        <w:t>批</w:t>
      </w:r>
      <w:r>
        <w:rPr>
          <w:rFonts w:hint="eastAsia" w:ascii="仿宋_GB2312" w:hAnsi="仿宋_GB2312" w:eastAsia="仿宋_GB2312" w:cs="仿宋_GB2312"/>
          <w:color w:val="auto"/>
          <w:sz w:val="32"/>
          <w:szCs w:val="32"/>
          <w:lang w:val="en-US" w:eastAsia="zh-CN"/>
        </w:rPr>
        <w:t>/821</w:t>
      </w:r>
      <w:r>
        <w:rPr>
          <w:rFonts w:hint="eastAsia" w:ascii="仿宋_GB2312" w:hAnsi="仿宋_GB2312" w:eastAsia="仿宋_GB2312" w:cs="仿宋_GB2312"/>
          <w:color w:val="auto"/>
          <w:sz w:val="32"/>
          <w:szCs w:val="32"/>
        </w:rPr>
        <w:t>人次，全部现场答复或转送交办责任单位，办结回复率100%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网上信访情况。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年，大冶市网络信访中心共办理网络信访事项</w:t>
      </w:r>
      <w:r>
        <w:rPr>
          <w:rFonts w:hint="eastAsia" w:ascii="仿宋_GB2312" w:hAnsi="仿宋_GB2312" w:eastAsia="仿宋_GB2312" w:cs="仿宋_GB2312"/>
          <w:color w:val="auto"/>
          <w:sz w:val="32"/>
          <w:szCs w:val="32"/>
          <w:lang w:val="en-US" w:eastAsia="zh-CN"/>
        </w:rPr>
        <w:t>2669</w:t>
      </w:r>
      <w:r>
        <w:rPr>
          <w:rFonts w:hint="eastAsia" w:ascii="仿宋_GB2312" w:hAnsi="仿宋_GB2312" w:eastAsia="仿宋_GB2312" w:cs="仿宋_GB2312"/>
          <w:color w:val="auto"/>
          <w:sz w:val="32"/>
          <w:szCs w:val="32"/>
        </w:rPr>
        <w:t>件，其中，上级网络转送交办件</w:t>
      </w:r>
      <w:r>
        <w:rPr>
          <w:rFonts w:hint="eastAsia" w:ascii="仿宋_GB2312" w:hAnsi="仿宋_GB2312" w:eastAsia="仿宋_GB2312" w:cs="仿宋_GB2312"/>
          <w:color w:val="auto"/>
          <w:sz w:val="32"/>
          <w:szCs w:val="32"/>
          <w:lang w:val="en-US" w:eastAsia="zh-CN"/>
        </w:rPr>
        <w:t>1187</w:t>
      </w:r>
      <w:r>
        <w:rPr>
          <w:rFonts w:hint="eastAsia" w:ascii="仿宋_GB2312" w:hAnsi="仿宋_GB2312" w:eastAsia="仿宋_GB2312" w:cs="仿宋_GB2312"/>
          <w:color w:val="auto"/>
          <w:sz w:val="32"/>
          <w:szCs w:val="32"/>
        </w:rPr>
        <w:t>件，全部办结回复。“市长信箱”受理信访事项</w:t>
      </w:r>
      <w:r>
        <w:rPr>
          <w:rFonts w:hint="eastAsia" w:ascii="仿宋_GB2312" w:hAnsi="仿宋_GB2312" w:eastAsia="仿宋_GB2312" w:cs="仿宋_GB2312"/>
          <w:color w:val="auto"/>
          <w:sz w:val="32"/>
          <w:szCs w:val="32"/>
          <w:lang w:val="en-US" w:eastAsia="zh-CN"/>
        </w:rPr>
        <w:t>1482</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val="en-US" w:eastAsia="zh-CN"/>
        </w:rPr>
        <w:t>据湖北省阳光信访信息平台统计，信访事项及时受理率100%、按期办结率99.93%、责任单位参评率83.94%、满意率95.90%。</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大冶市信访局</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2020年1月15日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83652"/>
    <w:multiLevelType w:val="singleLevel"/>
    <w:tmpl w:val="E32836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7DAB3"/>
    <w:rsid w:val="00110904"/>
    <w:rsid w:val="047A06EE"/>
    <w:rsid w:val="05850E27"/>
    <w:rsid w:val="0B1319CB"/>
    <w:rsid w:val="0C2849B9"/>
    <w:rsid w:val="18BD652C"/>
    <w:rsid w:val="195A7627"/>
    <w:rsid w:val="2B1B7807"/>
    <w:rsid w:val="32603047"/>
    <w:rsid w:val="3C8A17D8"/>
    <w:rsid w:val="3DE7DAB3"/>
    <w:rsid w:val="3EB87B90"/>
    <w:rsid w:val="419E2EF3"/>
    <w:rsid w:val="483C37A7"/>
    <w:rsid w:val="4B325225"/>
    <w:rsid w:val="4EEE6CFE"/>
    <w:rsid w:val="608413CD"/>
    <w:rsid w:val="628A7099"/>
    <w:rsid w:val="66571F37"/>
    <w:rsid w:val="6DEB5C18"/>
    <w:rsid w:val="71341F92"/>
    <w:rsid w:val="760E7072"/>
    <w:rsid w:val="797E6987"/>
    <w:rsid w:val="7A200426"/>
    <w:rsid w:val="7FABE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2021-01-15T09:06:00Z</dcterms:created>
  <dc:creator>xfj</dc:creator>
  <cp:lastModifiedBy>郑文霞</cp:lastModifiedBy>
  <cp:lastPrinted>2021-01-21T04:20:39Z</cp:lastPrinted>
  <dcterms:modified xsi:type="dcterms:W3CDTF">2021-01-21T04:27:15Z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218016190_cloud</vt:lpwstr>
  </property>
</Properties>
</file>