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right" w:pos="8306"/>
        </w:tabs>
        <w:kinsoku/>
        <w:wordWrap/>
        <w:overflowPunct/>
        <w:topLinePunct w:val="0"/>
        <w:bidi w:val="0"/>
        <w:snapToGrid/>
        <w:spacing w:line="560" w:lineRule="exact"/>
        <w:textAlignment w:val="auto"/>
        <w:rPr>
          <w:rFonts w:hint="eastAsia" w:ascii="黑体" w:hAnsi="黑体" w:eastAsia="黑体"/>
          <w:sz w:val="32"/>
          <w:szCs w:val="36"/>
          <w:lang w:val="en-US" w:eastAsia="zh-CN"/>
        </w:rPr>
      </w:pPr>
      <w:r>
        <w:rPr>
          <w:rFonts w:hint="eastAsia" w:ascii="黑体" w:hAnsi="黑体" w:eastAsia="黑体"/>
          <w:sz w:val="32"/>
          <w:szCs w:val="36"/>
        </w:rPr>
        <w:t>附件</w:t>
      </w:r>
    </w:p>
    <w:p>
      <w:pPr>
        <w:keepNext w:val="0"/>
        <w:keepLines w:val="0"/>
        <w:pageBreakBefore w:val="0"/>
        <w:widowControl w:val="0"/>
        <w:tabs>
          <w:tab w:val="right" w:pos="8306"/>
        </w:tabs>
        <w:kinsoku/>
        <w:wordWrap/>
        <w:overflowPunct/>
        <w:topLinePunct w:val="0"/>
        <w:bidi w:val="0"/>
        <w:snapToGrid/>
        <w:spacing w:line="560" w:lineRule="exact"/>
        <w:jc w:val="center"/>
        <w:textAlignment w:val="auto"/>
        <w:rPr>
          <w:rFonts w:ascii="黑体" w:hAnsi="黑体" w:eastAsia="黑体"/>
          <w:sz w:val="36"/>
          <w:szCs w:val="36"/>
        </w:rPr>
      </w:pPr>
      <w:bookmarkStart w:id="0" w:name="_GoBack"/>
      <w:r>
        <w:rPr>
          <w:rFonts w:hint="eastAsia" w:ascii="方正小标宋简体" w:hAnsi="方正小标宋简体" w:eastAsia="方正小标宋简体" w:cs="方正小标宋简体"/>
          <w:sz w:val="36"/>
          <w:szCs w:val="36"/>
          <w:lang w:val="en-US" w:eastAsia="zh-CN"/>
        </w:rPr>
        <w:t>大冶市证明事项告知承诺制目录清单（第三批）</w:t>
      </w:r>
    </w:p>
    <w:bookmarkEnd w:id="0"/>
    <w:p>
      <w:pPr>
        <w:pStyle w:val="7"/>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8"/>
        <w:tblW w:w="30964" w:type="dxa"/>
        <w:tblInd w:w="-365" w:type="dxa"/>
        <w:tblLayout w:type="fixed"/>
        <w:tblCellMar>
          <w:top w:w="0" w:type="dxa"/>
          <w:left w:w="108" w:type="dxa"/>
          <w:bottom w:w="0" w:type="dxa"/>
          <w:right w:w="108" w:type="dxa"/>
        </w:tblCellMar>
      </w:tblPr>
      <w:tblGrid>
        <w:gridCol w:w="500"/>
        <w:gridCol w:w="750"/>
        <w:gridCol w:w="675"/>
        <w:gridCol w:w="675"/>
        <w:gridCol w:w="562"/>
        <w:gridCol w:w="3300"/>
        <w:gridCol w:w="878"/>
        <w:gridCol w:w="691"/>
        <w:gridCol w:w="389"/>
        <w:gridCol w:w="376"/>
        <w:gridCol w:w="711"/>
        <w:gridCol w:w="353"/>
        <w:gridCol w:w="436"/>
        <w:gridCol w:w="879"/>
        <w:gridCol w:w="987"/>
        <w:gridCol w:w="863"/>
        <w:gridCol w:w="825"/>
        <w:gridCol w:w="600"/>
      </w:tblGrid>
      <w:tr>
        <w:tblPrEx>
          <w:tblCellMar>
            <w:top w:w="0" w:type="dxa"/>
            <w:left w:w="108" w:type="dxa"/>
            <w:bottom w:w="0" w:type="dxa"/>
            <w:right w:w="108" w:type="dxa"/>
          </w:tblCellMar>
        </w:tblPrEx>
        <w:trPr>
          <w:trHeight w:val="270" w:hRule="atLeast"/>
        </w:trPr>
        <w:tc>
          <w:tcPr>
            <w:tcW w:w="5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序号</w:t>
            </w:r>
          </w:p>
        </w:tc>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证明名称</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5"/>
                <w:szCs w:val="15"/>
                <w:u w:val="none"/>
                <w:lang w:val="en-US" w:eastAsia="zh-CN" w:bidi="ar"/>
              </w:rPr>
            </w:pPr>
            <w:r>
              <w:rPr>
                <w:rFonts w:hint="eastAsia" w:ascii="仿宋_GB2312" w:hAnsi="仿宋_GB2312" w:eastAsia="仿宋_GB2312" w:cs="仿宋_GB2312"/>
                <w:i w:val="0"/>
                <w:iCs w:val="0"/>
                <w:color w:val="auto"/>
                <w:kern w:val="0"/>
                <w:sz w:val="15"/>
                <w:szCs w:val="15"/>
                <w:u w:val="none"/>
                <w:lang w:val="en-US" w:eastAsia="zh-CN" w:bidi="ar"/>
              </w:rPr>
              <w:t>证明</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用途</w:t>
            </w:r>
          </w:p>
        </w:tc>
        <w:tc>
          <w:tcPr>
            <w:tcW w:w="675"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证明内容</w:t>
            </w:r>
          </w:p>
        </w:tc>
        <w:tc>
          <w:tcPr>
            <w:tcW w:w="562"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设定依据</w:t>
            </w:r>
          </w:p>
        </w:tc>
        <w:tc>
          <w:tcPr>
            <w:tcW w:w="3300" w:type="dxa"/>
            <w:vMerge w:val="restar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依据条文及内容</w:t>
            </w:r>
          </w:p>
        </w:tc>
        <w:tc>
          <w:tcPr>
            <w:tcW w:w="1569" w:type="dxa"/>
            <w:gridSpan w:val="2"/>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实施基本情况</w:t>
            </w:r>
          </w:p>
        </w:tc>
        <w:tc>
          <w:tcPr>
            <w:tcW w:w="182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行使层级</w:t>
            </w:r>
          </w:p>
        </w:tc>
        <w:tc>
          <w:tcPr>
            <w:tcW w:w="4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事项类型</w:t>
            </w:r>
          </w:p>
        </w:tc>
        <w:tc>
          <w:tcPr>
            <w:tcW w:w="415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能否实行告知承诺制</w:t>
            </w:r>
          </w:p>
        </w:tc>
      </w:tr>
      <w:tr>
        <w:tblPrEx>
          <w:tblCellMar>
            <w:top w:w="0" w:type="dxa"/>
            <w:left w:w="108" w:type="dxa"/>
            <w:bottom w:w="0" w:type="dxa"/>
            <w:right w:w="108" w:type="dxa"/>
          </w:tblCellMar>
        </w:tblPrEx>
        <w:trPr>
          <w:trHeight w:val="298" w:hRule="atLeast"/>
        </w:trPr>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675"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562"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33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1569" w:type="dxa"/>
            <w:gridSpan w:val="2"/>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182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43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355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能实行告知承诺</w:t>
            </w:r>
          </w:p>
        </w:tc>
        <w:tc>
          <w:tcPr>
            <w:tcW w:w="6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不能实行告知承诺及原因</w:t>
            </w:r>
          </w:p>
        </w:tc>
      </w:tr>
      <w:tr>
        <w:tblPrEx>
          <w:tblCellMar>
            <w:top w:w="0" w:type="dxa"/>
            <w:left w:w="108" w:type="dxa"/>
            <w:bottom w:w="0" w:type="dxa"/>
            <w:right w:w="108" w:type="dxa"/>
          </w:tblCellMar>
        </w:tblPrEx>
        <w:trPr>
          <w:trHeight w:val="1485" w:hRule="atLeast"/>
        </w:trPr>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675"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562"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33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87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索要单位</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5"/>
                <w:szCs w:val="15"/>
                <w:u w:val="none"/>
                <w:lang w:val="en-US" w:eastAsia="zh-CN" w:bidi="ar"/>
              </w:rPr>
            </w:pPr>
            <w:r>
              <w:rPr>
                <w:rFonts w:hint="eastAsia" w:ascii="仿宋_GB2312" w:hAnsi="仿宋_GB2312" w:eastAsia="仿宋_GB2312" w:cs="仿宋_GB2312"/>
                <w:i w:val="0"/>
                <w:iCs w:val="0"/>
                <w:color w:val="auto"/>
                <w:kern w:val="0"/>
                <w:sz w:val="15"/>
                <w:szCs w:val="15"/>
                <w:u w:val="none"/>
                <w:lang w:val="en-US" w:eastAsia="zh-CN" w:bidi="ar"/>
              </w:rPr>
              <w:t>开具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单位</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省级</w:t>
            </w:r>
          </w:p>
        </w:tc>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市级</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县级</w:t>
            </w:r>
          </w:p>
        </w:tc>
        <w:tc>
          <w:tcPr>
            <w:tcW w:w="353" w:type="dxa"/>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乡（镇）级及其他</w:t>
            </w:r>
          </w:p>
        </w:tc>
        <w:tc>
          <w:tcPr>
            <w:tcW w:w="43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sz w:val="15"/>
                <w:szCs w:val="15"/>
                <w:u w:val="none"/>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申请人承诺，部门即给予办理，无需再提交证明</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申请人承诺后，通过部门自查，无需申请人提交证明</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申请人承诺后，需要在一定期限内补齐证明</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sz w:val="15"/>
                <w:szCs w:val="15"/>
                <w:u w:val="none"/>
              </w:rPr>
            </w:pPr>
            <w:r>
              <w:rPr>
                <w:rFonts w:hint="eastAsia" w:ascii="仿宋_GB2312" w:hAnsi="仿宋_GB2312" w:eastAsia="仿宋_GB2312" w:cs="仿宋_GB2312"/>
                <w:i w:val="0"/>
                <w:iCs w:val="0"/>
                <w:color w:val="auto"/>
                <w:kern w:val="0"/>
                <w:sz w:val="15"/>
                <w:szCs w:val="15"/>
                <w:u w:val="none"/>
                <w:lang w:val="en-US" w:eastAsia="zh-CN" w:bidi="ar"/>
              </w:rPr>
              <w:t>证明材料核查方式</w:t>
            </w:r>
          </w:p>
        </w:tc>
        <w:tc>
          <w:tcPr>
            <w:tcW w:w="60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i w:val="0"/>
                <w:iCs w:val="0"/>
                <w:color w:val="auto"/>
                <w:sz w:val="15"/>
                <w:szCs w:val="15"/>
                <w:u w:val="none"/>
              </w:rPr>
            </w:pPr>
          </w:p>
        </w:tc>
      </w:tr>
      <w:tr>
        <w:tblPrEx>
          <w:tblCellMar>
            <w:top w:w="0" w:type="dxa"/>
            <w:left w:w="108" w:type="dxa"/>
            <w:bottom w:w="0" w:type="dxa"/>
            <w:right w:w="108" w:type="dxa"/>
          </w:tblCellMar>
        </w:tblPrEx>
        <w:trPr>
          <w:trHeight w:val="2385" w:hRule="atLeast"/>
        </w:trPr>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5"/>
                <w:szCs w:val="15"/>
                <w:u w:val="none"/>
                <w:lang w:val="en-US" w:eastAsia="zh-CN" w:bidi="ar-SA"/>
              </w:rPr>
            </w:pPr>
            <w:r>
              <w:rPr>
                <w:rFonts w:hint="eastAsia" w:ascii="仿宋_GB2312" w:hAnsi="仿宋_GB2312" w:eastAsia="仿宋_GB2312" w:cs="仿宋_GB2312"/>
                <w:i w:val="0"/>
                <w:iCs w:val="0"/>
                <w:color w:val="auto"/>
                <w:kern w:val="0"/>
                <w:sz w:val="15"/>
                <w:szCs w:val="15"/>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15"/>
                <w:szCs w:val="15"/>
                <w:u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申领旅馆业《特种行业许可证》</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6"/>
                <w:szCs w:val="16"/>
                <w:u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申请开办旅馆业</w:t>
            </w:r>
          </w:p>
        </w:tc>
        <w:tc>
          <w:tcPr>
            <w:tcW w:w="67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5"/>
                <w:szCs w:val="15"/>
                <w:u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社会诚信承诺</w:t>
            </w:r>
          </w:p>
        </w:tc>
        <w:tc>
          <w:tcPr>
            <w:tcW w:w="562"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5"/>
                <w:szCs w:val="15"/>
                <w:u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部门规章</w:t>
            </w:r>
          </w:p>
        </w:tc>
        <w:tc>
          <w:tcPr>
            <w:tcW w:w="330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iCs w:val="0"/>
                <w:color w:val="auto"/>
                <w:kern w:val="2"/>
                <w:sz w:val="15"/>
                <w:szCs w:val="15"/>
                <w:u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湖北省公安厅关于申领特种行业许可证告知承诺办法（试行）》第四条“除下列情形必须通过一般审批程序外，申请人可以选择采用告知承诺方式申领《特种行业许可证》：（一）曾因违反所申请的特种许可行业（旅馆、印章）治安管理，受到行政或刑事处罚的；（二）曾被相关部门列入失信名单并实施联合惩戒的；（三）曾因在适用告知承诺办法申请行政许可事项过程中提供虚假材料或作出不实承诺受到查处的。”</w:t>
            </w:r>
          </w:p>
        </w:tc>
        <w:tc>
          <w:tcPr>
            <w:tcW w:w="87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5"/>
                <w:szCs w:val="15"/>
                <w:u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市公安局</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5"/>
                <w:szCs w:val="15"/>
                <w:u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派出所、法院</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auto"/>
                <w:kern w:val="2"/>
                <w:sz w:val="15"/>
                <w:szCs w:val="15"/>
                <w:u w:val="none"/>
                <w:lang w:val="en-US" w:eastAsia="zh-CN" w:bidi="ar-SA"/>
              </w:rPr>
            </w:pPr>
          </w:p>
        </w:tc>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auto"/>
                <w:kern w:val="2"/>
                <w:sz w:val="15"/>
                <w:szCs w:val="15"/>
                <w:u w:val="none"/>
                <w:lang w:val="en-US" w:eastAsia="zh-CN" w:bidi="ar-SA"/>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5"/>
                <w:szCs w:val="15"/>
                <w:u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auto"/>
                <w:kern w:val="2"/>
                <w:sz w:val="15"/>
                <w:szCs w:val="15"/>
                <w:u w:val="none"/>
                <w:lang w:val="en-US" w:eastAsia="zh-CN" w:bidi="ar-SA"/>
              </w:rPr>
            </w:pP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auto"/>
                <w:kern w:val="2"/>
                <w:sz w:val="15"/>
                <w:szCs w:val="15"/>
                <w:u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行政许可</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5"/>
                <w:szCs w:val="15"/>
                <w:u w:val="none"/>
                <w:lang w:val="en-US" w:eastAsia="zh-CN" w:bidi="ar-SA"/>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2"/>
                <w:sz w:val="15"/>
                <w:szCs w:val="15"/>
                <w:u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auto"/>
                <w:kern w:val="2"/>
                <w:sz w:val="15"/>
                <w:szCs w:val="15"/>
                <w:u w:val="none"/>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5"/>
                <w:szCs w:val="15"/>
                <w:u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政务网核查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5"/>
                <w:szCs w:val="15"/>
                <w:u w:val="none"/>
                <w:lang w:val="en-US" w:eastAsia="zh-CN" w:bidi="ar-SA"/>
              </w:rPr>
            </w:pPr>
          </w:p>
        </w:tc>
      </w:tr>
      <w:tr>
        <w:tblPrEx>
          <w:tblCellMar>
            <w:top w:w="0" w:type="dxa"/>
            <w:left w:w="108" w:type="dxa"/>
            <w:bottom w:w="0" w:type="dxa"/>
            <w:right w:w="108" w:type="dxa"/>
          </w:tblCellMar>
        </w:tblPrEx>
        <w:trPr>
          <w:trHeight w:val="2039" w:hRule="atLeast"/>
        </w:trPr>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5"/>
                <w:szCs w:val="15"/>
                <w:u w:val="none"/>
                <w:lang w:val="en-US" w:eastAsia="zh-CN" w:bidi="ar"/>
              </w:rPr>
            </w:pPr>
            <w:r>
              <w:rPr>
                <w:rFonts w:hint="eastAsia" w:ascii="仿宋_GB2312" w:hAnsi="仿宋_GB2312" w:eastAsia="仿宋_GB2312" w:cs="仿宋_GB2312"/>
                <w:i w:val="0"/>
                <w:iCs w:val="0"/>
                <w:color w:val="auto"/>
                <w:kern w:val="0"/>
                <w:sz w:val="15"/>
                <w:szCs w:val="15"/>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auto"/>
                <w:kern w:val="0"/>
                <w:sz w:val="16"/>
                <w:szCs w:val="16"/>
                <w:u w:val="none"/>
                <w:lang w:val="en-US" w:eastAsia="zh-CN" w:bidi="ar"/>
              </w:rPr>
              <w:t>身体条件证明</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auto"/>
                <w:kern w:val="0"/>
                <w:sz w:val="16"/>
                <w:szCs w:val="16"/>
                <w:u w:val="none"/>
                <w:lang w:val="en-US" w:eastAsia="zh-CN" w:bidi="ar"/>
              </w:rPr>
              <w:t>在交警部门申请驾驶证和换领驾驶证</w:t>
            </w:r>
          </w:p>
        </w:tc>
        <w:tc>
          <w:tcPr>
            <w:tcW w:w="67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auto"/>
                <w:kern w:val="0"/>
                <w:sz w:val="16"/>
                <w:szCs w:val="16"/>
                <w:u w:val="none"/>
                <w:lang w:val="en-US" w:eastAsia="zh-CN" w:bidi="ar"/>
              </w:rPr>
              <w:t>证明申请人或驾驶人符合拥有驾驶证的条件</w:t>
            </w:r>
          </w:p>
        </w:tc>
        <w:tc>
          <w:tcPr>
            <w:tcW w:w="562"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部门规章</w:t>
            </w:r>
          </w:p>
        </w:tc>
        <w:tc>
          <w:tcPr>
            <w:tcW w:w="330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《机动车驾驶证申领和使用规定》第二十三条“申请机动车驾驶证，应当确认申请信息，并提交以下证明：（一）申请人的身份证明；（二）医疗机构出具的有关身体条件的证明。”</w:t>
            </w:r>
          </w:p>
        </w:tc>
        <w:tc>
          <w:tcPr>
            <w:tcW w:w="87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市公安局</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医疗机构</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auto"/>
                <w:kern w:val="2"/>
                <w:sz w:val="15"/>
                <w:szCs w:val="15"/>
                <w:u w:val="none"/>
                <w:lang w:val="en-US" w:eastAsia="zh-CN" w:bidi="ar-SA"/>
              </w:rPr>
            </w:pPr>
          </w:p>
        </w:tc>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auto"/>
                <w:kern w:val="2"/>
                <w:sz w:val="15"/>
                <w:szCs w:val="15"/>
                <w:u w:val="none"/>
                <w:lang w:val="en-US" w:eastAsia="zh-CN" w:bidi="ar-SA"/>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auto"/>
                <w:kern w:val="0"/>
                <w:sz w:val="16"/>
                <w:szCs w:val="16"/>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auto"/>
                <w:kern w:val="2"/>
                <w:sz w:val="15"/>
                <w:szCs w:val="15"/>
                <w:u w:val="none"/>
                <w:lang w:val="en-US" w:eastAsia="zh-CN" w:bidi="ar-SA"/>
              </w:rPr>
            </w:pP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auto"/>
                <w:kern w:val="0"/>
                <w:sz w:val="16"/>
                <w:szCs w:val="16"/>
                <w:u w:val="none"/>
                <w:lang w:val="en-US" w:eastAsia="zh-CN" w:bidi="ar"/>
              </w:rPr>
              <w:t>行政许可</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5"/>
                <w:szCs w:val="15"/>
                <w:u w:val="none"/>
                <w:lang w:val="en-US" w:eastAsia="zh-CN" w:bidi="ar-SA"/>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auto"/>
                <w:kern w:val="0"/>
                <w:sz w:val="16"/>
                <w:szCs w:val="16"/>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auto"/>
                <w:kern w:val="2"/>
                <w:sz w:val="15"/>
                <w:szCs w:val="15"/>
                <w:u w:val="none"/>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auto"/>
                <w:kern w:val="0"/>
                <w:sz w:val="16"/>
                <w:szCs w:val="16"/>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i w:val="0"/>
                <w:iCs w:val="0"/>
                <w:color w:val="auto"/>
                <w:kern w:val="0"/>
                <w:sz w:val="15"/>
                <w:szCs w:val="15"/>
                <w:u w:val="none"/>
                <w:lang w:val="en-US" w:eastAsia="zh-CN" w:bidi="ar"/>
              </w:rPr>
            </w:pPr>
          </w:p>
        </w:tc>
      </w:tr>
      <w:tr>
        <w:tblPrEx>
          <w:tblCellMar>
            <w:top w:w="0" w:type="dxa"/>
            <w:left w:w="108" w:type="dxa"/>
            <w:bottom w:w="0" w:type="dxa"/>
            <w:right w:w="108" w:type="dxa"/>
          </w:tblCellMar>
        </w:tblPrEx>
        <w:trPr>
          <w:trHeight w:val="4056" w:hRule="atLeast"/>
        </w:trPr>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5"/>
                <w:szCs w:val="15"/>
                <w:u w:val="none"/>
                <w:lang w:val="en-US" w:eastAsia="zh-CN" w:bidi="ar"/>
              </w:rPr>
            </w:pPr>
            <w:r>
              <w:rPr>
                <w:rFonts w:hint="eastAsia" w:ascii="仿宋_GB2312" w:hAnsi="仿宋_GB2312" w:eastAsia="仿宋_GB2312" w:cs="仿宋_GB2312"/>
                <w:i w:val="0"/>
                <w:iCs w:val="0"/>
                <w:color w:val="auto"/>
                <w:kern w:val="0"/>
                <w:sz w:val="16"/>
                <w:szCs w:val="16"/>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未参加企业职工养老保险及享受养老金证明</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 xml:space="preserve">60周岁以上农村籍退役士兵认定                                                                                                                                                            </w:t>
            </w:r>
          </w:p>
        </w:tc>
        <w:tc>
          <w:tcPr>
            <w:tcW w:w="67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证明申请人未参加企业职工养老保险及享受养老金。</w:t>
            </w:r>
          </w:p>
        </w:tc>
        <w:tc>
          <w:tcPr>
            <w:tcW w:w="562"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部门规章</w:t>
            </w:r>
          </w:p>
        </w:tc>
        <w:tc>
          <w:tcPr>
            <w:tcW w:w="330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民政部、财政部《关于给部分农村籍退役士兵发放老年生活补助的通知（民发【2011】110号）一、适用对象的界定中“农村籍退役士兵的界定为，退役时落户农村户籍目前仍为村户籍、退役时落户农村户籍后转为非农户籍的人员。上述人中不包括已享受退休金或城镇职工养老保险金待通的人员。”</w:t>
            </w:r>
          </w:p>
        </w:tc>
        <w:tc>
          <w:tcPr>
            <w:tcW w:w="87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市退役军人事务局</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市人社局</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kern w:val="2"/>
                <w:sz w:val="15"/>
                <w:szCs w:val="15"/>
                <w:u w:val="none"/>
                <w:lang w:val="en-US" w:eastAsia="zh-CN" w:bidi="ar-SA"/>
              </w:rPr>
            </w:pPr>
          </w:p>
        </w:tc>
        <w:tc>
          <w:tcPr>
            <w:tcW w:w="3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kern w:val="2"/>
                <w:sz w:val="15"/>
                <w:szCs w:val="15"/>
                <w:u w:val="none"/>
                <w:lang w:val="en-US" w:eastAsia="zh-CN" w:bidi="ar-SA"/>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kern w:val="2"/>
                <w:sz w:val="15"/>
                <w:szCs w:val="15"/>
                <w:u w:val="none"/>
                <w:lang w:val="en-US" w:eastAsia="zh-CN" w:bidi="ar-SA"/>
              </w:rPr>
            </w:pP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行政确认</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kern w:val="2"/>
                <w:sz w:val="15"/>
                <w:szCs w:val="15"/>
                <w:u w:val="none"/>
                <w:lang w:val="en-US" w:eastAsia="zh-CN" w:bidi="ar-SA"/>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kern w:val="2"/>
                <w:sz w:val="15"/>
                <w:szCs w:val="15"/>
                <w:u w:val="none"/>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部门之间核查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kern w:val="0"/>
                <w:sz w:val="15"/>
                <w:szCs w:val="15"/>
                <w:u w:val="none"/>
                <w:lang w:val="en-US" w:eastAsia="zh-CN" w:bidi="ar"/>
              </w:rPr>
            </w:pPr>
          </w:p>
        </w:tc>
      </w:tr>
      <w:tr>
        <w:tblPrEx>
          <w:tblCellMar>
            <w:top w:w="0" w:type="dxa"/>
            <w:left w:w="108" w:type="dxa"/>
            <w:bottom w:w="0" w:type="dxa"/>
            <w:right w:w="108" w:type="dxa"/>
          </w:tblCellMar>
        </w:tblPrEx>
        <w:trPr>
          <w:trHeight w:val="3563" w:hRule="atLeast"/>
        </w:trPr>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auto"/>
                <w:kern w:val="2"/>
                <w:sz w:val="16"/>
                <w:szCs w:val="16"/>
                <w:u w:val="none"/>
                <w:lang w:val="en-US" w:eastAsia="zh-CN" w:bidi="ar-SA"/>
              </w:rPr>
              <w:t>4</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家庭状况证明</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申请社会救助</w:t>
            </w:r>
          </w:p>
        </w:tc>
        <w:tc>
          <w:tcPr>
            <w:tcW w:w="67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申请人收入和财产情况</w:t>
            </w:r>
          </w:p>
        </w:tc>
        <w:tc>
          <w:tcPr>
            <w:tcW w:w="562"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行政法规</w:t>
            </w:r>
          </w:p>
        </w:tc>
        <w:tc>
          <w:tcPr>
            <w:tcW w:w="330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《社会求助暂行办法》第十一条申请最低生活保障， 按照下列程程序办理:(二) 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tc>
        <w:tc>
          <w:tcPr>
            <w:tcW w:w="87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市民政局</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乡镇人民政府、街道办事处</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auto"/>
                <w:kern w:val="2"/>
                <w:sz w:val="15"/>
                <w:szCs w:val="15"/>
                <w:u w:val="none"/>
                <w:lang w:val="en-US" w:eastAsia="zh-CN" w:bidi="ar-SA"/>
              </w:rPr>
            </w:pPr>
          </w:p>
        </w:tc>
        <w:tc>
          <w:tcPr>
            <w:tcW w:w="3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auto"/>
                <w:kern w:val="2"/>
                <w:sz w:val="15"/>
                <w:szCs w:val="15"/>
                <w:u w:val="none"/>
                <w:lang w:val="en-US" w:eastAsia="zh-CN" w:bidi="ar-SA"/>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auto"/>
                <w:kern w:val="2"/>
                <w:sz w:val="15"/>
                <w:szCs w:val="15"/>
                <w:u w:val="none"/>
                <w:lang w:val="en-US" w:eastAsia="zh-CN" w:bidi="ar-SA"/>
              </w:rPr>
            </w:pP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行政确认</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auto"/>
                <w:kern w:val="2"/>
                <w:sz w:val="15"/>
                <w:szCs w:val="15"/>
                <w:u w:val="none"/>
                <w:lang w:val="en-US" w:eastAsia="zh-CN" w:bidi="ar-SA"/>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auto"/>
                <w:kern w:val="2"/>
                <w:sz w:val="15"/>
                <w:szCs w:val="15"/>
                <w:u w:val="none"/>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kern w:val="0"/>
                <w:sz w:val="16"/>
                <w:szCs w:val="16"/>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auto"/>
                <w:kern w:val="0"/>
                <w:sz w:val="15"/>
                <w:szCs w:val="15"/>
                <w:u w:val="none"/>
                <w:lang w:val="en-US" w:eastAsia="zh-CN" w:bidi="ar"/>
              </w:rPr>
            </w:pPr>
          </w:p>
        </w:tc>
      </w:tr>
    </w:tbl>
    <w:p/>
    <w:p/>
    <w:sectPr>
      <w:footerReference r:id="rId3"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  \* MERGEFORMAT </w:instrText>
                          </w:r>
                          <w:r>
                            <w:rPr>
                              <w:rFonts w:hint="eastAsia" w:ascii="黑体" w:hAnsi="黑体" w:eastAsia="黑体" w:cs="黑体"/>
                              <w:sz w:val="24"/>
                              <w:szCs w:val="24"/>
                            </w:rPr>
                            <w:fldChar w:fldCharType="separate"/>
                          </w:r>
                          <w:r>
                            <w:rPr>
                              <w:rFonts w:hint="eastAsia" w:ascii="黑体" w:hAnsi="黑体" w:eastAsia="黑体" w:cs="黑体"/>
                              <w:sz w:val="24"/>
                              <w:szCs w:val="24"/>
                            </w:rPr>
                            <w:t>- 28 -</w:t>
                          </w:r>
                          <w:r>
                            <w:rPr>
                              <w:rFonts w:hint="eastAsia" w:ascii="黑体" w:hAnsi="黑体" w:eastAsia="黑体" w:cs="黑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  \* MERGEFORMAT </w:instrText>
                    </w:r>
                    <w:r>
                      <w:rPr>
                        <w:rFonts w:hint="eastAsia" w:ascii="黑体" w:hAnsi="黑体" w:eastAsia="黑体" w:cs="黑体"/>
                        <w:sz w:val="24"/>
                        <w:szCs w:val="24"/>
                      </w:rPr>
                      <w:fldChar w:fldCharType="separate"/>
                    </w:r>
                    <w:r>
                      <w:rPr>
                        <w:rFonts w:hint="eastAsia" w:ascii="黑体" w:hAnsi="黑体" w:eastAsia="黑体" w:cs="黑体"/>
                        <w:sz w:val="24"/>
                        <w:szCs w:val="24"/>
                      </w:rPr>
                      <w:t>- 28 -</w:t>
                    </w:r>
                    <w:r>
                      <w:rPr>
                        <w:rFonts w:hint="eastAsia" w:ascii="黑体" w:hAnsi="黑体" w:eastAsia="黑体" w:cs="黑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NDM0YmQ0MGE3NzZjMjJhZmYzNmQ4MTA3MTZlZmMifQ=="/>
  </w:docVars>
  <w:rsids>
    <w:rsidRoot w:val="1F156DA0"/>
    <w:rsid w:val="1F156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正文文字"/>
    <w:basedOn w:val="3"/>
    <w:next w:val="1"/>
    <w:qFormat/>
    <w:uiPriority w:val="99"/>
    <w:pPr>
      <w:ind w:firstLine="200" w:firstLineChars="0"/>
    </w:pPr>
    <w:rPr>
      <w:rFonts w:ascii="仿宋_GB2312" w:eastAsia="仿宋_GB2312" w:cs="仿宋_GB2312"/>
    </w:rPr>
  </w:style>
  <w:style w:type="paragraph" w:styleId="3">
    <w:name w:val="Body Text First Indent"/>
    <w:basedOn w:val="4"/>
    <w:semiHidden/>
    <w:qFormat/>
    <w:uiPriority w:val="99"/>
    <w:pPr>
      <w:ind w:firstLine="420" w:firstLineChars="100"/>
    </w:pPr>
  </w:style>
  <w:style w:type="paragraph" w:styleId="4">
    <w:name w:val="Body Text"/>
    <w:basedOn w:val="1"/>
    <w:semiHidden/>
    <w:qFormat/>
    <w:uiPriority w:val="99"/>
    <w:pPr>
      <w:spacing w:after="120"/>
    </w:pPr>
  </w:style>
  <w:style w:type="paragraph" w:styleId="5">
    <w:name w:val="Body Text Indent"/>
    <w:basedOn w:val="1"/>
    <w:next w:val="1"/>
    <w:qFormat/>
    <w:uiPriority w:val="0"/>
    <w:pPr>
      <w:spacing w:after="120"/>
      <w:ind w:left="420" w:leftChars="200"/>
    </w:pPr>
    <w:rPr>
      <w:rFonts w:eastAsia="仿宋_GB2312"/>
      <w:sz w:val="32"/>
      <w:szCs w:val="20"/>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Body Text First Indent 2"/>
    <w:basedOn w:val="5"/>
    <w:unhideWhenUsed/>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2023-03-16T02:43:00Z</dcterms:created>
  <dc:creator>李成</dc:creator>
  <cp:lastModifiedBy>李成</cp:lastModifiedBy>
  <dcterms:modified xsi:type="dcterms:W3CDTF">2023-03-16T02:43:26Z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2E5AC84F994E474893807E11385BBFBE</vt:lpwstr>
  </property>
</Properties>
</file>