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A49F9">
      <w:pPr>
        <w:tabs>
          <w:tab w:val="right" w:pos="8306"/>
        </w:tabs>
        <w:spacing w:line="560" w:lineRule="exact"/>
        <w:rPr>
          <w:rFonts w:ascii="黑体" w:hAnsi="黑体" w:eastAsia="黑体"/>
          <w:sz w:val="32"/>
          <w:szCs w:val="36"/>
        </w:rPr>
      </w:pPr>
      <w:r>
        <w:rPr>
          <w:rFonts w:hint="eastAsia" w:ascii="黑体" w:hAnsi="黑体" w:eastAsia="黑体"/>
          <w:sz w:val="32"/>
          <w:szCs w:val="36"/>
        </w:rPr>
        <w:t>附件2</w:t>
      </w:r>
    </w:p>
    <w:p w14:paraId="70455608">
      <w:pPr>
        <w:tabs>
          <w:tab w:val="right" w:pos="8306"/>
        </w:tabs>
        <w:spacing w:line="560" w:lineRule="exact"/>
        <w:jc w:val="center"/>
        <w:rPr>
          <w:rFonts w:ascii="黑体" w:hAnsi="黑体" w:eastAsia="黑体"/>
          <w:sz w:val="44"/>
          <w:szCs w:val="44"/>
        </w:rPr>
      </w:pPr>
      <w:bookmarkStart w:id="0" w:name="_GoBack"/>
      <w:r>
        <w:rPr>
          <w:rFonts w:hint="eastAsia" w:ascii="方正小标宋简体" w:hAnsi="方正小标宋简体" w:eastAsia="方正小标宋简体" w:cs="方正小标宋简体"/>
          <w:sz w:val="44"/>
          <w:szCs w:val="44"/>
        </w:rPr>
        <w:t>大冶市2024年取消实行告知承诺制证明事项清单</w:t>
      </w:r>
    </w:p>
    <w:bookmarkEnd w:id="0"/>
    <w:tbl>
      <w:tblPr>
        <w:tblStyle w:val="5"/>
        <w:tblpPr w:leftFromText="180" w:rightFromText="180" w:vertAnchor="text" w:horzAnchor="page" w:tblpXSpec="right" w:tblpY="271"/>
        <w:tblOverlap w:val="never"/>
        <w:tblW w:w="15312" w:type="dxa"/>
        <w:jc w:val="right"/>
        <w:tblLayout w:type="fixed"/>
        <w:tblCellMar>
          <w:top w:w="0" w:type="dxa"/>
          <w:left w:w="108" w:type="dxa"/>
          <w:bottom w:w="0" w:type="dxa"/>
          <w:right w:w="108" w:type="dxa"/>
        </w:tblCellMar>
      </w:tblPr>
      <w:tblGrid>
        <w:gridCol w:w="478"/>
        <w:gridCol w:w="970"/>
        <w:gridCol w:w="957"/>
        <w:gridCol w:w="1008"/>
        <w:gridCol w:w="660"/>
        <w:gridCol w:w="5715"/>
        <w:gridCol w:w="493"/>
        <w:gridCol w:w="684"/>
        <w:gridCol w:w="1164"/>
        <w:gridCol w:w="983"/>
        <w:gridCol w:w="850"/>
        <w:gridCol w:w="634"/>
        <w:gridCol w:w="716"/>
      </w:tblGrid>
      <w:tr w14:paraId="1908A98F">
        <w:tblPrEx>
          <w:tblCellMar>
            <w:top w:w="0" w:type="dxa"/>
            <w:left w:w="108" w:type="dxa"/>
            <w:bottom w:w="0" w:type="dxa"/>
            <w:right w:w="108" w:type="dxa"/>
          </w:tblCellMar>
        </w:tblPrEx>
        <w:trPr>
          <w:trHeight w:val="340" w:hRule="atLeast"/>
          <w:jc w:val="righ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368ECB3A">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14:paraId="4CCE9FC7">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14:paraId="4EB7FE01">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名称</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14:paraId="3FF2FF47">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14:paraId="52753E32">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用途</w:t>
            </w:r>
          </w:p>
        </w:tc>
        <w:tc>
          <w:tcPr>
            <w:tcW w:w="1008" w:type="dxa"/>
            <w:vMerge w:val="restart"/>
            <w:tcBorders>
              <w:top w:val="single" w:color="000000" w:sz="4" w:space="0"/>
              <w:left w:val="single" w:color="000000" w:sz="4" w:space="0"/>
              <w:bottom w:val="single" w:color="000000" w:sz="4" w:space="0"/>
              <w:right w:val="single" w:color="auto" w:sz="4" w:space="0"/>
            </w:tcBorders>
            <w:vAlign w:val="center"/>
          </w:tcPr>
          <w:p w14:paraId="6F37D07D">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14:paraId="5C6FAD64">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内容</w:t>
            </w:r>
          </w:p>
        </w:tc>
        <w:tc>
          <w:tcPr>
            <w:tcW w:w="660" w:type="dxa"/>
            <w:vMerge w:val="restart"/>
            <w:tcBorders>
              <w:top w:val="single" w:color="auto" w:sz="4" w:space="0"/>
              <w:left w:val="single" w:color="auto" w:sz="4" w:space="0"/>
              <w:bottom w:val="single" w:color="auto" w:sz="4" w:space="0"/>
              <w:right w:val="single" w:color="000000" w:sz="4" w:space="0"/>
            </w:tcBorders>
            <w:vAlign w:val="center"/>
          </w:tcPr>
          <w:p w14:paraId="70E476CF">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设定依据</w:t>
            </w:r>
          </w:p>
        </w:tc>
        <w:tc>
          <w:tcPr>
            <w:tcW w:w="5715" w:type="dxa"/>
            <w:vMerge w:val="restart"/>
            <w:tcBorders>
              <w:top w:val="single" w:color="auto" w:sz="4" w:space="0"/>
              <w:left w:val="single" w:color="000000" w:sz="4" w:space="0"/>
              <w:bottom w:val="single" w:color="auto" w:sz="4" w:space="0"/>
              <w:right w:val="single" w:color="auto" w:sz="4" w:space="0"/>
            </w:tcBorders>
            <w:vAlign w:val="center"/>
          </w:tcPr>
          <w:p w14:paraId="49240657">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依据条文及内容</w:t>
            </w:r>
          </w:p>
        </w:tc>
        <w:tc>
          <w:tcPr>
            <w:tcW w:w="1177" w:type="dxa"/>
            <w:gridSpan w:val="2"/>
            <w:vMerge w:val="restart"/>
            <w:tcBorders>
              <w:top w:val="single" w:color="000000" w:sz="4" w:space="0"/>
              <w:left w:val="single" w:color="auto" w:sz="4" w:space="0"/>
              <w:bottom w:val="single" w:color="000000" w:sz="4" w:space="0"/>
              <w:right w:val="single" w:color="000000" w:sz="4" w:space="0"/>
            </w:tcBorders>
            <w:vAlign w:val="center"/>
          </w:tcPr>
          <w:p w14:paraId="3C4994B9">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实施基本情况</w:t>
            </w:r>
          </w:p>
        </w:tc>
        <w:tc>
          <w:tcPr>
            <w:tcW w:w="4347" w:type="dxa"/>
            <w:gridSpan w:val="5"/>
            <w:tcBorders>
              <w:top w:val="single" w:color="000000" w:sz="4" w:space="0"/>
              <w:left w:val="single" w:color="000000" w:sz="4" w:space="0"/>
              <w:bottom w:val="single" w:color="000000" w:sz="4" w:space="0"/>
              <w:right w:val="single" w:color="000000" w:sz="4" w:space="0"/>
            </w:tcBorders>
            <w:vAlign w:val="center"/>
          </w:tcPr>
          <w:p w14:paraId="3AEC3A84">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能否实行告知承诺制</w:t>
            </w:r>
          </w:p>
        </w:tc>
      </w:tr>
      <w:tr w14:paraId="34188944">
        <w:tblPrEx>
          <w:tblCellMar>
            <w:top w:w="0" w:type="dxa"/>
            <w:left w:w="108" w:type="dxa"/>
            <w:bottom w:w="0" w:type="dxa"/>
            <w:right w:w="108" w:type="dxa"/>
          </w:tblCellMar>
        </w:tblPrEx>
        <w:trPr>
          <w:trHeight w:val="392"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32FE12C8">
            <w:pPr>
              <w:spacing w:line="240" w:lineRule="exact"/>
              <w:jc w:val="center"/>
              <w:rPr>
                <w:rFonts w:ascii="仿宋_GB2312" w:hAnsi="仿宋_GB2312" w:eastAsia="仿宋_GB2312" w:cs="仿宋_GB2312"/>
                <w:b/>
                <w:bCs/>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7DBF391C">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14:paraId="5DAD62C7">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14:paraId="1216C99A">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14:paraId="370DA44E">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14:paraId="2387EEF8">
            <w:pPr>
              <w:spacing w:line="240" w:lineRule="exact"/>
              <w:jc w:val="center"/>
              <w:rPr>
                <w:rFonts w:ascii="仿宋_GB2312" w:hAnsi="仿宋_GB2312" w:eastAsia="仿宋_GB2312" w:cs="仿宋_GB2312"/>
                <w:b/>
                <w:bCs/>
                <w:sz w:val="20"/>
                <w:szCs w:val="20"/>
              </w:rPr>
            </w:pPr>
          </w:p>
        </w:tc>
        <w:tc>
          <w:tcPr>
            <w:tcW w:w="1177" w:type="dxa"/>
            <w:gridSpan w:val="2"/>
            <w:vMerge w:val="continue"/>
            <w:tcBorders>
              <w:top w:val="single" w:color="000000" w:sz="4" w:space="0"/>
              <w:left w:val="single" w:color="auto" w:sz="4" w:space="0"/>
              <w:bottom w:val="single" w:color="000000" w:sz="4" w:space="0"/>
              <w:right w:val="single" w:color="000000" w:sz="4" w:space="0"/>
            </w:tcBorders>
            <w:vAlign w:val="center"/>
          </w:tcPr>
          <w:p w14:paraId="7FE6D638">
            <w:pPr>
              <w:spacing w:line="240" w:lineRule="exact"/>
              <w:jc w:val="center"/>
              <w:rPr>
                <w:rFonts w:ascii="仿宋_GB2312" w:hAnsi="仿宋_GB2312" w:eastAsia="仿宋_GB2312" w:cs="仿宋_GB2312"/>
                <w:b/>
                <w:bCs/>
                <w:sz w:val="20"/>
                <w:szCs w:val="20"/>
              </w:rPr>
            </w:pPr>
          </w:p>
        </w:tc>
        <w:tc>
          <w:tcPr>
            <w:tcW w:w="3631" w:type="dxa"/>
            <w:gridSpan w:val="4"/>
            <w:tcBorders>
              <w:top w:val="single" w:color="000000" w:sz="4" w:space="0"/>
              <w:left w:val="single" w:color="000000" w:sz="4" w:space="0"/>
              <w:bottom w:val="single" w:color="000000" w:sz="4" w:space="0"/>
              <w:right w:val="single" w:color="000000" w:sz="4" w:space="0"/>
            </w:tcBorders>
            <w:vAlign w:val="center"/>
          </w:tcPr>
          <w:p w14:paraId="2D780A87">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能实行告知承诺</w:t>
            </w:r>
          </w:p>
        </w:tc>
        <w:tc>
          <w:tcPr>
            <w:tcW w:w="716" w:type="dxa"/>
            <w:tcBorders>
              <w:top w:val="single" w:color="000000" w:sz="4" w:space="0"/>
              <w:left w:val="single" w:color="000000" w:sz="4" w:space="0"/>
              <w:right w:val="single" w:color="000000" w:sz="4" w:space="0"/>
            </w:tcBorders>
            <w:vAlign w:val="center"/>
          </w:tcPr>
          <w:p w14:paraId="7B22757D">
            <w:pPr>
              <w:widowControl/>
              <w:spacing w:line="240" w:lineRule="exact"/>
              <w:jc w:val="left"/>
              <w:textAlignment w:val="center"/>
              <w:rPr>
                <w:rFonts w:ascii="仿宋_GB2312" w:hAnsi="仿宋_GB2312" w:eastAsia="仿宋_GB2312" w:cs="仿宋_GB2312"/>
                <w:b/>
                <w:bCs/>
                <w:sz w:val="20"/>
                <w:szCs w:val="20"/>
              </w:rPr>
            </w:pPr>
          </w:p>
        </w:tc>
      </w:tr>
      <w:tr w14:paraId="530128BF">
        <w:tblPrEx>
          <w:tblCellMar>
            <w:top w:w="0" w:type="dxa"/>
            <w:left w:w="108" w:type="dxa"/>
            <w:bottom w:w="0" w:type="dxa"/>
            <w:right w:w="108" w:type="dxa"/>
          </w:tblCellMar>
        </w:tblPrEx>
        <w:trPr>
          <w:trHeight w:val="1314"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5A94D640">
            <w:pPr>
              <w:spacing w:line="240" w:lineRule="exact"/>
              <w:jc w:val="center"/>
              <w:rPr>
                <w:rFonts w:ascii="仿宋_GB2312" w:hAnsi="仿宋_GB2312" w:eastAsia="仿宋_GB2312" w:cs="仿宋_GB2312"/>
                <w:b/>
                <w:bCs/>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36A67A1B">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14:paraId="3657A953">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14:paraId="6167AE5F">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14:paraId="2CF0E58D">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14:paraId="341D17AB">
            <w:pPr>
              <w:spacing w:line="240" w:lineRule="exact"/>
              <w:jc w:val="center"/>
              <w:rPr>
                <w:rFonts w:ascii="仿宋_GB2312" w:hAnsi="仿宋_GB2312" w:eastAsia="仿宋_GB2312" w:cs="仿宋_GB2312"/>
                <w:b/>
                <w:bCs/>
                <w:sz w:val="20"/>
                <w:szCs w:val="20"/>
              </w:rPr>
            </w:pPr>
          </w:p>
        </w:tc>
        <w:tc>
          <w:tcPr>
            <w:tcW w:w="493" w:type="dxa"/>
            <w:tcBorders>
              <w:top w:val="single" w:color="000000" w:sz="4" w:space="0"/>
              <w:left w:val="single" w:color="auto" w:sz="4" w:space="0"/>
              <w:bottom w:val="single" w:color="000000" w:sz="4" w:space="0"/>
              <w:right w:val="single" w:color="000000" w:sz="4" w:space="0"/>
            </w:tcBorders>
            <w:vAlign w:val="center"/>
          </w:tcPr>
          <w:p w14:paraId="013173DB">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索要单位</w:t>
            </w:r>
          </w:p>
        </w:tc>
        <w:tc>
          <w:tcPr>
            <w:tcW w:w="684" w:type="dxa"/>
            <w:tcBorders>
              <w:top w:val="single" w:color="000000" w:sz="4" w:space="0"/>
              <w:left w:val="single" w:color="000000" w:sz="4" w:space="0"/>
              <w:bottom w:val="single" w:color="000000" w:sz="4" w:space="0"/>
              <w:right w:val="single" w:color="000000" w:sz="4" w:space="0"/>
            </w:tcBorders>
            <w:vAlign w:val="center"/>
          </w:tcPr>
          <w:p w14:paraId="4EB358F3">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开具</w:t>
            </w:r>
          </w:p>
          <w:p w14:paraId="5CF30254">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单位</w:t>
            </w:r>
          </w:p>
        </w:tc>
        <w:tc>
          <w:tcPr>
            <w:tcW w:w="1164" w:type="dxa"/>
            <w:tcBorders>
              <w:top w:val="single" w:color="000000" w:sz="4" w:space="0"/>
              <w:left w:val="single" w:color="000000" w:sz="4" w:space="0"/>
              <w:bottom w:val="single" w:color="000000" w:sz="4" w:space="0"/>
              <w:right w:val="single" w:color="000000" w:sz="4" w:space="0"/>
            </w:tcBorders>
            <w:vAlign w:val="center"/>
          </w:tcPr>
          <w:p w14:paraId="43A4639E">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申请人承诺，部门即给予办理，无需再提交证明</w:t>
            </w:r>
          </w:p>
        </w:tc>
        <w:tc>
          <w:tcPr>
            <w:tcW w:w="983" w:type="dxa"/>
            <w:tcBorders>
              <w:top w:val="single" w:color="000000" w:sz="4" w:space="0"/>
              <w:left w:val="single" w:color="000000" w:sz="4" w:space="0"/>
              <w:bottom w:val="single" w:color="000000" w:sz="4" w:space="0"/>
              <w:right w:val="single" w:color="000000" w:sz="4" w:space="0"/>
            </w:tcBorders>
            <w:vAlign w:val="center"/>
          </w:tcPr>
          <w:p w14:paraId="381F5AA7">
            <w:pPr>
              <w:widowControl/>
              <w:spacing w:line="240" w:lineRule="exact"/>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申请人承诺后，通过部门自查，无需申请人提交证明</w:t>
            </w:r>
          </w:p>
        </w:tc>
        <w:tc>
          <w:tcPr>
            <w:tcW w:w="850" w:type="dxa"/>
            <w:tcBorders>
              <w:top w:val="single" w:color="000000" w:sz="4" w:space="0"/>
              <w:left w:val="single" w:color="000000" w:sz="4" w:space="0"/>
              <w:bottom w:val="single" w:color="000000" w:sz="4" w:space="0"/>
              <w:right w:val="single" w:color="000000" w:sz="4" w:space="0"/>
            </w:tcBorders>
            <w:vAlign w:val="center"/>
          </w:tcPr>
          <w:p w14:paraId="0814A94D">
            <w:pPr>
              <w:widowControl/>
              <w:spacing w:line="240" w:lineRule="exact"/>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申请人承诺后，需要在一定期限内补齐证明</w:t>
            </w:r>
          </w:p>
        </w:tc>
        <w:tc>
          <w:tcPr>
            <w:tcW w:w="634" w:type="dxa"/>
            <w:tcBorders>
              <w:top w:val="single" w:color="000000" w:sz="4" w:space="0"/>
              <w:left w:val="single" w:color="000000" w:sz="4" w:space="0"/>
              <w:bottom w:val="single" w:color="000000" w:sz="4" w:space="0"/>
              <w:right w:val="single" w:color="000000" w:sz="4" w:space="0"/>
            </w:tcBorders>
            <w:vAlign w:val="center"/>
          </w:tcPr>
          <w:p w14:paraId="1C435FEA">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证明材料核查方式</w:t>
            </w:r>
          </w:p>
        </w:tc>
        <w:tc>
          <w:tcPr>
            <w:tcW w:w="716" w:type="dxa"/>
            <w:tcBorders>
              <w:left w:val="single" w:color="000000" w:sz="4" w:space="0"/>
              <w:right w:val="single" w:color="000000" w:sz="4" w:space="0"/>
            </w:tcBorders>
            <w:vAlign w:val="center"/>
          </w:tcPr>
          <w:p w14:paraId="1349A5ED">
            <w:pPr>
              <w:spacing w:line="240" w:lineRule="exact"/>
              <w:jc w:val="left"/>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不能实行告知承诺及原因</w:t>
            </w:r>
          </w:p>
        </w:tc>
      </w:tr>
      <w:tr w14:paraId="3763F984">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520D973F">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1</w:t>
            </w:r>
          </w:p>
        </w:tc>
        <w:tc>
          <w:tcPr>
            <w:tcW w:w="970" w:type="dxa"/>
            <w:tcBorders>
              <w:top w:val="single" w:color="000000" w:sz="4" w:space="0"/>
              <w:left w:val="single" w:color="000000" w:sz="4" w:space="0"/>
              <w:bottom w:val="single" w:color="000000" w:sz="4" w:space="0"/>
              <w:right w:val="single" w:color="000000" w:sz="4" w:space="0"/>
            </w:tcBorders>
            <w:vAlign w:val="center"/>
          </w:tcPr>
          <w:p w14:paraId="14C7D7C1">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有无抵押、查封的证明</w:t>
            </w:r>
          </w:p>
        </w:tc>
        <w:tc>
          <w:tcPr>
            <w:tcW w:w="957" w:type="dxa"/>
            <w:tcBorders>
              <w:top w:val="single" w:color="000000" w:sz="4" w:space="0"/>
              <w:left w:val="single" w:color="000000" w:sz="4" w:space="0"/>
              <w:bottom w:val="single" w:color="000000" w:sz="4" w:space="0"/>
              <w:right w:val="single" w:color="000000" w:sz="4" w:space="0"/>
            </w:tcBorders>
            <w:vAlign w:val="center"/>
          </w:tcPr>
          <w:p w14:paraId="1B2CE6CD">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商品房预售许可</w:t>
            </w:r>
          </w:p>
        </w:tc>
        <w:tc>
          <w:tcPr>
            <w:tcW w:w="1008" w:type="dxa"/>
            <w:tcBorders>
              <w:top w:val="single" w:color="000000" w:sz="4" w:space="0"/>
              <w:left w:val="single" w:color="000000" w:sz="4" w:space="0"/>
              <w:bottom w:val="single" w:color="000000" w:sz="4" w:space="0"/>
              <w:right w:val="single" w:color="auto" w:sz="4" w:space="0"/>
            </w:tcBorders>
            <w:vAlign w:val="center"/>
          </w:tcPr>
          <w:p w14:paraId="638AD7F5">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该项目有无抵押、查封，明确抵押权人、查封人及抵押、查封期限</w:t>
            </w:r>
          </w:p>
        </w:tc>
        <w:tc>
          <w:tcPr>
            <w:tcW w:w="660" w:type="dxa"/>
            <w:tcBorders>
              <w:top w:val="single" w:color="auto" w:sz="4" w:space="0"/>
              <w:left w:val="single" w:color="auto" w:sz="4" w:space="0"/>
              <w:bottom w:val="single" w:color="auto" w:sz="4" w:space="0"/>
              <w:right w:val="single" w:color="000000" w:sz="4" w:space="0"/>
            </w:tcBorders>
            <w:vAlign w:val="center"/>
          </w:tcPr>
          <w:p w14:paraId="740CFF78">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14:paraId="54966D83">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城市房地产管理法》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w:t>
            </w:r>
          </w:p>
        </w:tc>
        <w:tc>
          <w:tcPr>
            <w:tcW w:w="493" w:type="dxa"/>
            <w:tcBorders>
              <w:top w:val="single" w:color="000000" w:sz="4" w:space="0"/>
              <w:left w:val="single" w:color="auto" w:sz="4" w:space="0"/>
              <w:bottom w:val="single" w:color="000000" w:sz="4" w:space="0"/>
              <w:right w:val="single" w:color="000000" w:sz="4" w:space="0"/>
            </w:tcBorders>
            <w:vAlign w:val="center"/>
          </w:tcPr>
          <w:p w14:paraId="32899EDC">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市住建局</w:t>
            </w:r>
          </w:p>
        </w:tc>
        <w:tc>
          <w:tcPr>
            <w:tcW w:w="684" w:type="dxa"/>
            <w:tcBorders>
              <w:top w:val="single" w:color="000000" w:sz="4" w:space="0"/>
              <w:left w:val="single" w:color="000000" w:sz="4" w:space="0"/>
              <w:bottom w:val="single" w:color="000000" w:sz="4" w:space="0"/>
              <w:right w:val="single" w:color="000000" w:sz="4" w:space="0"/>
            </w:tcBorders>
            <w:vAlign w:val="center"/>
          </w:tcPr>
          <w:p w14:paraId="6768C4D3">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不动产登记机构</w:t>
            </w:r>
          </w:p>
        </w:tc>
        <w:tc>
          <w:tcPr>
            <w:tcW w:w="1164" w:type="dxa"/>
            <w:tcBorders>
              <w:top w:val="single" w:color="000000" w:sz="4" w:space="0"/>
              <w:left w:val="single" w:color="000000" w:sz="4" w:space="0"/>
              <w:bottom w:val="single" w:color="000000" w:sz="4" w:space="0"/>
              <w:right w:val="single" w:color="000000" w:sz="4" w:space="0"/>
            </w:tcBorders>
            <w:vAlign w:val="center"/>
          </w:tcPr>
          <w:p w14:paraId="27510D9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14:paraId="3323C8C7">
            <w:pPr>
              <w:widowControl/>
              <w:spacing w:line="240" w:lineRule="exact"/>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3845677">
            <w:pPr>
              <w:spacing w:line="240" w:lineRule="exact"/>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2FC9F0E4">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13F9BBB4">
            <w:pPr>
              <w:spacing w:line="240" w:lineRule="exact"/>
              <w:jc w:val="center"/>
              <w:rPr>
                <w:rFonts w:ascii="仿宋_GB2312" w:hAnsi="仿宋_GB2312" w:eastAsia="仿宋_GB2312" w:cs="仿宋_GB2312"/>
                <w:sz w:val="20"/>
                <w:szCs w:val="20"/>
              </w:rPr>
            </w:pPr>
          </w:p>
        </w:tc>
      </w:tr>
      <w:tr w14:paraId="5FFF4C01">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0FBF6CDF">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2</w:t>
            </w:r>
          </w:p>
        </w:tc>
        <w:tc>
          <w:tcPr>
            <w:tcW w:w="970" w:type="dxa"/>
            <w:tcBorders>
              <w:top w:val="single" w:color="000000" w:sz="4" w:space="0"/>
              <w:left w:val="single" w:color="000000" w:sz="4" w:space="0"/>
              <w:bottom w:val="single" w:color="000000" w:sz="4" w:space="0"/>
              <w:right w:val="single" w:color="000000" w:sz="4" w:space="0"/>
            </w:tcBorders>
            <w:vAlign w:val="center"/>
          </w:tcPr>
          <w:p w14:paraId="7B9D8EB8">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有无拆迁还建的证明</w:t>
            </w:r>
          </w:p>
        </w:tc>
        <w:tc>
          <w:tcPr>
            <w:tcW w:w="957" w:type="dxa"/>
            <w:tcBorders>
              <w:top w:val="single" w:color="000000" w:sz="4" w:space="0"/>
              <w:left w:val="single" w:color="000000" w:sz="4" w:space="0"/>
              <w:bottom w:val="single" w:color="000000" w:sz="4" w:space="0"/>
              <w:right w:val="single" w:color="000000" w:sz="4" w:space="0"/>
            </w:tcBorders>
            <w:vAlign w:val="center"/>
          </w:tcPr>
          <w:p w14:paraId="51FC253E">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商品房预售许可</w:t>
            </w:r>
          </w:p>
        </w:tc>
        <w:tc>
          <w:tcPr>
            <w:tcW w:w="1008" w:type="dxa"/>
            <w:tcBorders>
              <w:top w:val="single" w:color="000000" w:sz="4" w:space="0"/>
              <w:left w:val="single" w:color="000000" w:sz="4" w:space="0"/>
              <w:bottom w:val="single" w:color="000000" w:sz="4" w:space="0"/>
              <w:right w:val="single" w:color="auto" w:sz="4" w:space="0"/>
            </w:tcBorders>
            <w:vAlign w:val="center"/>
          </w:tcPr>
          <w:p w14:paraId="35C5DAA9">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该项目有无拆迁还建，明确拆迁还建面积、户数</w:t>
            </w:r>
          </w:p>
        </w:tc>
        <w:tc>
          <w:tcPr>
            <w:tcW w:w="660" w:type="dxa"/>
            <w:tcBorders>
              <w:top w:val="single" w:color="auto" w:sz="4" w:space="0"/>
              <w:left w:val="single" w:color="auto" w:sz="4" w:space="0"/>
              <w:bottom w:val="single" w:color="auto" w:sz="4" w:space="0"/>
              <w:right w:val="single" w:color="000000" w:sz="4" w:space="0"/>
            </w:tcBorders>
            <w:vAlign w:val="center"/>
          </w:tcPr>
          <w:p w14:paraId="27A40E7C">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14:paraId="00204C17">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城市房地产开发经营管理条例》第十二条第二款第五项“土地使用权出让或者划拨前，县级以上地方人民政府城市规划行政主管部门和房地产开发主管部门应当对下列事项提出书面意见，作为土地使用权出让或者划拨的依据之一：（一）房地产开发项目的性质、规模和开发期限；（二）城市规划设计条件；（三）基础设施和公共设施的建设要求；（四）基础设施建成后的产权界定；（五）项目拆迁补偿、安置要求。”</w:t>
            </w:r>
          </w:p>
        </w:tc>
        <w:tc>
          <w:tcPr>
            <w:tcW w:w="493" w:type="dxa"/>
            <w:tcBorders>
              <w:top w:val="single" w:color="000000" w:sz="4" w:space="0"/>
              <w:left w:val="single" w:color="auto" w:sz="4" w:space="0"/>
              <w:bottom w:val="single" w:color="000000" w:sz="4" w:space="0"/>
              <w:right w:val="single" w:color="000000" w:sz="4" w:space="0"/>
            </w:tcBorders>
            <w:vAlign w:val="center"/>
          </w:tcPr>
          <w:p w14:paraId="602EDE85">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市住建局</w:t>
            </w:r>
          </w:p>
        </w:tc>
        <w:tc>
          <w:tcPr>
            <w:tcW w:w="684" w:type="dxa"/>
            <w:tcBorders>
              <w:top w:val="single" w:color="000000" w:sz="4" w:space="0"/>
              <w:left w:val="single" w:color="000000" w:sz="4" w:space="0"/>
              <w:bottom w:val="single" w:color="000000" w:sz="4" w:space="0"/>
              <w:right w:val="single" w:color="000000" w:sz="4" w:space="0"/>
            </w:tcBorders>
            <w:vAlign w:val="center"/>
          </w:tcPr>
          <w:p w14:paraId="22658C3B">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县级以上政府城市规划行政主管部门和房地产开发主管部门</w:t>
            </w:r>
          </w:p>
        </w:tc>
        <w:tc>
          <w:tcPr>
            <w:tcW w:w="1164" w:type="dxa"/>
            <w:tcBorders>
              <w:top w:val="single" w:color="000000" w:sz="4" w:space="0"/>
              <w:left w:val="single" w:color="000000" w:sz="4" w:space="0"/>
              <w:bottom w:val="single" w:color="000000" w:sz="4" w:space="0"/>
              <w:right w:val="single" w:color="000000" w:sz="4" w:space="0"/>
            </w:tcBorders>
            <w:vAlign w:val="center"/>
          </w:tcPr>
          <w:p w14:paraId="68ED0814">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14:paraId="76398154">
            <w:pPr>
              <w:widowControl/>
              <w:spacing w:line="240" w:lineRule="exact"/>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D68D9E9">
            <w:pPr>
              <w:spacing w:line="240" w:lineRule="exact"/>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50ED578D">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2A7D81C0">
            <w:pPr>
              <w:spacing w:line="240" w:lineRule="exact"/>
              <w:jc w:val="center"/>
              <w:rPr>
                <w:rFonts w:ascii="仿宋_GB2312" w:hAnsi="仿宋_GB2312" w:eastAsia="仿宋_GB2312" w:cs="仿宋_GB2312"/>
                <w:sz w:val="20"/>
                <w:szCs w:val="20"/>
              </w:rPr>
            </w:pPr>
          </w:p>
        </w:tc>
      </w:tr>
      <w:tr w14:paraId="74BB6BD5">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2E6757A2">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970" w:type="dxa"/>
            <w:tcBorders>
              <w:top w:val="single" w:color="000000" w:sz="4" w:space="0"/>
              <w:left w:val="single" w:color="000000" w:sz="4" w:space="0"/>
              <w:bottom w:val="single" w:color="000000" w:sz="4" w:space="0"/>
              <w:right w:val="single" w:color="000000" w:sz="4" w:space="0"/>
            </w:tcBorders>
            <w:vAlign w:val="center"/>
          </w:tcPr>
          <w:p w14:paraId="471D7AEA">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计量标准器及主要配套设备有效的检定或校准证书</w:t>
            </w:r>
          </w:p>
        </w:tc>
        <w:tc>
          <w:tcPr>
            <w:tcW w:w="957" w:type="dxa"/>
            <w:tcBorders>
              <w:top w:val="single" w:color="000000" w:sz="4" w:space="0"/>
              <w:left w:val="single" w:color="000000" w:sz="4" w:space="0"/>
              <w:bottom w:val="single" w:color="000000" w:sz="4" w:space="0"/>
              <w:right w:val="single" w:color="000000" w:sz="4" w:space="0"/>
            </w:tcBorders>
            <w:vAlign w:val="center"/>
          </w:tcPr>
          <w:p w14:paraId="31453263">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14:paraId="285E5D21">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用于证明计量标准器已经检定或校准合格</w:t>
            </w:r>
          </w:p>
        </w:tc>
        <w:tc>
          <w:tcPr>
            <w:tcW w:w="660" w:type="dxa"/>
            <w:tcBorders>
              <w:top w:val="single" w:color="auto" w:sz="4" w:space="0"/>
              <w:left w:val="single" w:color="auto" w:sz="4" w:space="0"/>
              <w:bottom w:val="single" w:color="auto" w:sz="4" w:space="0"/>
              <w:right w:val="single" w:color="000000" w:sz="4" w:space="0"/>
            </w:tcBorders>
            <w:vAlign w:val="center"/>
          </w:tcPr>
          <w:p w14:paraId="5CEBEF3B">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14:paraId="065FAE41">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计量法》第二十条“县级以上人民政府计量行政部门可以根据需要设置计量检定机构，或者授权其他单位的计量检定机构，执行强制检定和其他检定、测试任务。执行前款规定的检定、测试任务的人员，必须经考核合格。”</w:t>
            </w:r>
          </w:p>
          <w:p w14:paraId="01D69D8A">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《计量标准考核规范》（JJF1033-2023）第5.1.2.1款</w:t>
            </w:r>
          </w:p>
        </w:tc>
        <w:tc>
          <w:tcPr>
            <w:tcW w:w="493" w:type="dxa"/>
            <w:tcBorders>
              <w:top w:val="single" w:color="000000" w:sz="4" w:space="0"/>
              <w:left w:val="single" w:color="auto" w:sz="4" w:space="0"/>
              <w:bottom w:val="single" w:color="000000" w:sz="4" w:space="0"/>
              <w:right w:val="single" w:color="000000" w:sz="4" w:space="0"/>
            </w:tcBorders>
            <w:vAlign w:val="center"/>
          </w:tcPr>
          <w:p w14:paraId="2EBBD93A">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14:paraId="4E36AB1C">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14:paraId="67A7F78B">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市场监管部门全国各级法定计量检定机构</w:t>
            </w:r>
          </w:p>
        </w:tc>
        <w:tc>
          <w:tcPr>
            <w:tcW w:w="1164" w:type="dxa"/>
            <w:tcBorders>
              <w:top w:val="single" w:color="000000" w:sz="4" w:space="0"/>
              <w:left w:val="single" w:color="000000" w:sz="4" w:space="0"/>
              <w:bottom w:val="single" w:color="000000" w:sz="4" w:space="0"/>
              <w:right w:val="single" w:color="000000" w:sz="4" w:space="0"/>
            </w:tcBorders>
            <w:vAlign w:val="center"/>
          </w:tcPr>
          <w:p w14:paraId="011AF0B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14:paraId="13D5C418">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558AE84">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448BA85B">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24A864CB">
            <w:pPr>
              <w:spacing w:line="240" w:lineRule="exact"/>
              <w:jc w:val="center"/>
              <w:rPr>
                <w:rFonts w:ascii="仿宋_GB2312" w:hAnsi="仿宋_GB2312" w:eastAsia="仿宋_GB2312" w:cs="仿宋_GB2312"/>
                <w:sz w:val="20"/>
                <w:szCs w:val="20"/>
              </w:rPr>
            </w:pPr>
          </w:p>
        </w:tc>
      </w:tr>
      <w:tr w14:paraId="1F8C4B29">
        <w:tblPrEx>
          <w:tblCellMar>
            <w:top w:w="0" w:type="dxa"/>
            <w:left w:w="108" w:type="dxa"/>
            <w:bottom w:w="0" w:type="dxa"/>
            <w:right w:w="108" w:type="dxa"/>
          </w:tblCellMar>
        </w:tblPrEx>
        <w:trPr>
          <w:trHeight w:val="275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1C7FC08A">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970" w:type="dxa"/>
            <w:tcBorders>
              <w:top w:val="single" w:color="000000" w:sz="4" w:space="0"/>
              <w:left w:val="single" w:color="000000" w:sz="4" w:space="0"/>
              <w:bottom w:val="single" w:color="000000" w:sz="4" w:space="0"/>
              <w:right w:val="single" w:color="000000" w:sz="4" w:space="0"/>
            </w:tcBorders>
            <w:vAlign w:val="center"/>
          </w:tcPr>
          <w:p w14:paraId="514D4AD5">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检定或校准人员能力证明</w:t>
            </w:r>
          </w:p>
        </w:tc>
        <w:tc>
          <w:tcPr>
            <w:tcW w:w="957" w:type="dxa"/>
            <w:tcBorders>
              <w:top w:val="single" w:color="000000" w:sz="4" w:space="0"/>
              <w:left w:val="single" w:color="000000" w:sz="4" w:space="0"/>
              <w:bottom w:val="single" w:color="000000" w:sz="4" w:space="0"/>
              <w:right w:val="single" w:color="000000" w:sz="4" w:space="0"/>
            </w:tcBorders>
            <w:vAlign w:val="center"/>
          </w:tcPr>
          <w:p w14:paraId="666E69E2">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14:paraId="1AFBCAD7">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用于证明至少有两名具有相应能力，并满足有关计量法律法规要求的计量检定或校准人员</w:t>
            </w:r>
          </w:p>
        </w:tc>
        <w:tc>
          <w:tcPr>
            <w:tcW w:w="660" w:type="dxa"/>
            <w:tcBorders>
              <w:top w:val="single" w:color="auto" w:sz="4" w:space="0"/>
              <w:left w:val="single" w:color="auto" w:sz="4" w:space="0"/>
              <w:bottom w:val="single" w:color="auto" w:sz="4" w:space="0"/>
              <w:right w:val="single" w:color="000000" w:sz="4" w:space="0"/>
            </w:tcBorders>
            <w:vAlign w:val="center"/>
          </w:tcPr>
          <w:p w14:paraId="0876BC9E">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14:paraId="2A07EEE1">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计量法》第二十条“县级以上人民政府计量行政部门可以根据需要设置计量检定机构，或者授权其他单位的计量检定机构，执行强制检定和其他检定、测试任务。执行前款规定的检定、测试任务的人员，必须经考核合格。”</w:t>
            </w:r>
          </w:p>
          <w:p w14:paraId="1A8D565F">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《计量标准考核规范》（JJF1033-2023）第5.1.2.1款</w:t>
            </w:r>
          </w:p>
        </w:tc>
        <w:tc>
          <w:tcPr>
            <w:tcW w:w="493" w:type="dxa"/>
            <w:tcBorders>
              <w:top w:val="single" w:color="000000" w:sz="4" w:space="0"/>
              <w:left w:val="single" w:color="auto" w:sz="4" w:space="0"/>
              <w:bottom w:val="single" w:color="000000" w:sz="4" w:space="0"/>
              <w:right w:val="single" w:color="000000" w:sz="4" w:space="0"/>
            </w:tcBorders>
            <w:vAlign w:val="center"/>
          </w:tcPr>
          <w:p w14:paraId="36FBD0F3">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14:paraId="4B7811B5">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14:paraId="08351D75">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w:t>
            </w:r>
          </w:p>
        </w:tc>
        <w:tc>
          <w:tcPr>
            <w:tcW w:w="1164" w:type="dxa"/>
            <w:tcBorders>
              <w:top w:val="single" w:color="000000" w:sz="4" w:space="0"/>
              <w:left w:val="single" w:color="000000" w:sz="4" w:space="0"/>
              <w:bottom w:val="single" w:color="000000" w:sz="4" w:space="0"/>
              <w:right w:val="single" w:color="000000" w:sz="4" w:space="0"/>
            </w:tcBorders>
            <w:vAlign w:val="center"/>
          </w:tcPr>
          <w:p w14:paraId="7E7E3099">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14:paraId="650F9538">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C9EC6ED">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422F90C0">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1FDC08F5">
            <w:pPr>
              <w:spacing w:line="240" w:lineRule="exact"/>
              <w:jc w:val="center"/>
              <w:rPr>
                <w:rFonts w:ascii="仿宋_GB2312" w:hAnsi="仿宋_GB2312" w:eastAsia="仿宋_GB2312" w:cs="仿宋_GB2312"/>
                <w:sz w:val="20"/>
                <w:szCs w:val="20"/>
              </w:rPr>
            </w:pPr>
          </w:p>
        </w:tc>
      </w:tr>
      <w:tr w14:paraId="55F38E31">
        <w:tblPrEx>
          <w:tblCellMar>
            <w:top w:w="0" w:type="dxa"/>
            <w:left w:w="108" w:type="dxa"/>
            <w:bottom w:w="0" w:type="dxa"/>
            <w:right w:w="108" w:type="dxa"/>
          </w:tblCellMar>
        </w:tblPrEx>
        <w:trPr>
          <w:trHeight w:val="238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56B8AA8A">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970" w:type="dxa"/>
            <w:tcBorders>
              <w:top w:val="single" w:color="000000" w:sz="4" w:space="0"/>
              <w:left w:val="single" w:color="000000" w:sz="4" w:space="0"/>
              <w:bottom w:val="single" w:color="000000" w:sz="4" w:space="0"/>
              <w:right w:val="single" w:color="000000" w:sz="4" w:space="0"/>
            </w:tcBorders>
            <w:vAlign w:val="center"/>
          </w:tcPr>
          <w:p w14:paraId="5242F09D">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计量标准技术报告</w:t>
            </w:r>
          </w:p>
        </w:tc>
        <w:tc>
          <w:tcPr>
            <w:tcW w:w="957" w:type="dxa"/>
            <w:tcBorders>
              <w:top w:val="single" w:color="000000" w:sz="4" w:space="0"/>
              <w:left w:val="single" w:color="000000" w:sz="4" w:space="0"/>
              <w:bottom w:val="single" w:color="000000" w:sz="4" w:space="0"/>
              <w:right w:val="single" w:color="000000" w:sz="4" w:space="0"/>
            </w:tcBorders>
            <w:vAlign w:val="center"/>
          </w:tcPr>
          <w:p w14:paraId="562A6D1E">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14:paraId="7D8A83BA">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申请单位开展计量工作的技术性文件，用于证明计量建标的核心技术内容</w:t>
            </w:r>
          </w:p>
        </w:tc>
        <w:tc>
          <w:tcPr>
            <w:tcW w:w="660" w:type="dxa"/>
            <w:tcBorders>
              <w:top w:val="single" w:color="auto" w:sz="4" w:space="0"/>
              <w:left w:val="single" w:color="auto" w:sz="4" w:space="0"/>
              <w:bottom w:val="single" w:color="auto" w:sz="4" w:space="0"/>
              <w:right w:val="single" w:color="000000" w:sz="4" w:space="0"/>
            </w:tcBorders>
            <w:vAlign w:val="center"/>
          </w:tcPr>
          <w:p w14:paraId="2F3E997A">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14:paraId="58C86D55">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《计量标准考核办法》第八条 申请新建计量标准考核，申请计量标准考核的单位（以下简称申请考核单位）应当向主持考核的市场监督管理部门递交以下申请资料：</w:t>
            </w:r>
          </w:p>
          <w:p w14:paraId="34D2BF8D">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（一）计量标准考核（复查）申请书和计量标准技术报告；</w:t>
            </w:r>
          </w:p>
          <w:p w14:paraId="164AB030">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（二）计量标准器及配套的主要计量设备有效检定或者校准证书，以及可以证明计量标准具有相应测量能力的其他技术资料复印件各1份。”</w:t>
            </w:r>
          </w:p>
        </w:tc>
        <w:tc>
          <w:tcPr>
            <w:tcW w:w="493" w:type="dxa"/>
            <w:tcBorders>
              <w:top w:val="single" w:color="000000" w:sz="4" w:space="0"/>
              <w:left w:val="single" w:color="auto" w:sz="4" w:space="0"/>
              <w:bottom w:val="single" w:color="000000" w:sz="4" w:space="0"/>
              <w:right w:val="single" w:color="000000" w:sz="4" w:space="0"/>
            </w:tcBorders>
            <w:vAlign w:val="center"/>
          </w:tcPr>
          <w:p w14:paraId="0B338FFE">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14:paraId="4E5CAD22">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14:paraId="5048C91E">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w:t>
            </w:r>
          </w:p>
        </w:tc>
        <w:tc>
          <w:tcPr>
            <w:tcW w:w="1164" w:type="dxa"/>
            <w:tcBorders>
              <w:top w:val="single" w:color="000000" w:sz="4" w:space="0"/>
              <w:left w:val="single" w:color="000000" w:sz="4" w:space="0"/>
              <w:bottom w:val="single" w:color="000000" w:sz="4" w:space="0"/>
              <w:right w:val="single" w:color="000000" w:sz="4" w:space="0"/>
            </w:tcBorders>
            <w:vAlign w:val="center"/>
          </w:tcPr>
          <w:p w14:paraId="3D0D9F73">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14:paraId="06CD27D0">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D039621">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63CC300D">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0D44CB6F">
            <w:pPr>
              <w:spacing w:line="240" w:lineRule="exact"/>
              <w:jc w:val="center"/>
              <w:rPr>
                <w:rFonts w:ascii="仿宋_GB2312" w:hAnsi="仿宋_GB2312" w:eastAsia="仿宋_GB2312" w:cs="仿宋_GB2312"/>
                <w:sz w:val="20"/>
                <w:szCs w:val="20"/>
              </w:rPr>
            </w:pPr>
          </w:p>
        </w:tc>
      </w:tr>
      <w:tr w14:paraId="0D4DE481">
        <w:tblPrEx>
          <w:tblCellMar>
            <w:top w:w="0" w:type="dxa"/>
            <w:left w:w="108" w:type="dxa"/>
            <w:bottom w:w="0" w:type="dxa"/>
            <w:right w:w="108" w:type="dxa"/>
          </w:tblCellMar>
        </w:tblPrEx>
        <w:trPr>
          <w:trHeight w:val="265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14:paraId="417C12F1">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970" w:type="dxa"/>
            <w:tcBorders>
              <w:top w:val="single" w:color="000000" w:sz="4" w:space="0"/>
              <w:left w:val="single" w:color="000000" w:sz="4" w:space="0"/>
              <w:bottom w:val="single" w:color="000000" w:sz="4" w:space="0"/>
              <w:right w:val="single" w:color="000000" w:sz="4" w:space="0"/>
            </w:tcBorders>
            <w:vAlign w:val="center"/>
          </w:tcPr>
          <w:p w14:paraId="4A6ADB3C">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家庭状况证明</w:t>
            </w:r>
          </w:p>
        </w:tc>
        <w:tc>
          <w:tcPr>
            <w:tcW w:w="957" w:type="dxa"/>
            <w:tcBorders>
              <w:top w:val="single" w:color="000000" w:sz="4" w:space="0"/>
              <w:left w:val="single" w:color="000000" w:sz="4" w:space="0"/>
              <w:bottom w:val="single" w:color="000000" w:sz="4" w:space="0"/>
              <w:right w:val="single" w:color="000000" w:sz="4" w:space="0"/>
            </w:tcBorders>
            <w:vAlign w:val="center"/>
          </w:tcPr>
          <w:p w14:paraId="4C1197FC">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申请社会救助</w:t>
            </w:r>
          </w:p>
        </w:tc>
        <w:tc>
          <w:tcPr>
            <w:tcW w:w="1008" w:type="dxa"/>
            <w:tcBorders>
              <w:top w:val="single" w:color="000000" w:sz="4" w:space="0"/>
              <w:left w:val="single" w:color="000000" w:sz="4" w:space="0"/>
              <w:bottom w:val="single" w:color="000000" w:sz="4" w:space="0"/>
              <w:right w:val="single" w:color="auto" w:sz="4" w:space="0"/>
            </w:tcBorders>
            <w:vAlign w:val="center"/>
          </w:tcPr>
          <w:p w14:paraId="77F0A97D">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申请人收入和财产情况</w:t>
            </w:r>
          </w:p>
        </w:tc>
        <w:tc>
          <w:tcPr>
            <w:tcW w:w="660" w:type="dxa"/>
            <w:tcBorders>
              <w:top w:val="single" w:color="auto" w:sz="4" w:space="0"/>
              <w:left w:val="single" w:color="auto" w:sz="4" w:space="0"/>
              <w:bottom w:val="single" w:color="auto" w:sz="4" w:space="0"/>
              <w:right w:val="single" w:color="000000" w:sz="4" w:space="0"/>
            </w:tcBorders>
            <w:vAlign w:val="center"/>
          </w:tcPr>
          <w:p w14:paraId="6FB76AE7">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14:paraId="2C7FA0A9">
            <w:pPr>
              <w:widowControl/>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《社会求助暂行办法》第十一条申请最低生活保障， 按照下列程程序办理:(二)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493" w:type="dxa"/>
            <w:tcBorders>
              <w:top w:val="single" w:color="000000" w:sz="4" w:space="0"/>
              <w:left w:val="single" w:color="auto" w:sz="4" w:space="0"/>
              <w:bottom w:val="single" w:color="000000" w:sz="4" w:space="0"/>
              <w:right w:val="single" w:color="000000" w:sz="4" w:space="0"/>
            </w:tcBorders>
            <w:vAlign w:val="center"/>
          </w:tcPr>
          <w:p w14:paraId="6123956A">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市民政局</w:t>
            </w:r>
          </w:p>
        </w:tc>
        <w:tc>
          <w:tcPr>
            <w:tcW w:w="684" w:type="dxa"/>
            <w:tcBorders>
              <w:top w:val="single" w:color="000000" w:sz="4" w:space="0"/>
              <w:left w:val="single" w:color="000000" w:sz="4" w:space="0"/>
              <w:bottom w:val="single" w:color="000000" w:sz="4" w:space="0"/>
              <w:right w:val="single" w:color="000000" w:sz="4" w:space="0"/>
            </w:tcBorders>
            <w:vAlign w:val="center"/>
          </w:tcPr>
          <w:p w14:paraId="73F6AA02">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乡镇人民政府、街道办事处</w:t>
            </w:r>
          </w:p>
        </w:tc>
        <w:tc>
          <w:tcPr>
            <w:tcW w:w="1164" w:type="dxa"/>
            <w:tcBorders>
              <w:top w:val="single" w:color="000000" w:sz="4" w:space="0"/>
              <w:left w:val="single" w:color="000000" w:sz="4" w:space="0"/>
              <w:bottom w:val="single" w:color="000000" w:sz="4" w:space="0"/>
              <w:right w:val="single" w:color="000000" w:sz="4" w:space="0"/>
            </w:tcBorders>
            <w:vAlign w:val="center"/>
          </w:tcPr>
          <w:p w14:paraId="4A43C0FB">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14:paraId="174D68B8">
            <w:pPr>
              <w:widowControl/>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DD313E6">
            <w:pPr>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14:paraId="1E2FBC74">
            <w:pPr>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14:paraId="47A43092">
            <w:pPr>
              <w:jc w:val="center"/>
              <w:rPr>
                <w:rFonts w:ascii="仿宋_GB2312" w:hAnsi="仿宋_GB2312" w:eastAsia="仿宋_GB2312" w:cs="仿宋_GB2312"/>
                <w:sz w:val="20"/>
                <w:szCs w:val="20"/>
              </w:rPr>
            </w:pPr>
          </w:p>
        </w:tc>
      </w:tr>
    </w:tbl>
    <w:p w14:paraId="6682DB85"/>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A5A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BB1C03">
                          <w:pPr>
                            <w:pStyle w:val="4"/>
                            <w:rPr>
                              <w:rFonts w:ascii="黑体" w:hAnsi="黑体" w:eastAsia="黑体" w:cs="黑体"/>
                              <w:sz w:val="24"/>
                            </w:rPr>
                          </w:pPr>
                          <w:r>
                            <w:rPr>
                              <w:rFonts w:hint="eastAsia" w:ascii="黑体" w:hAnsi="黑体" w:eastAsia="黑体" w:cs="黑体"/>
                              <w:sz w:val="24"/>
                            </w:rPr>
                            <w:fldChar w:fldCharType="begin"/>
                          </w:r>
                          <w:r>
                            <w:rPr>
                              <w:rFonts w:hint="eastAsia" w:ascii="黑体" w:hAnsi="黑体" w:eastAsia="黑体" w:cs="黑体"/>
                              <w:sz w:val="24"/>
                            </w:rPr>
                            <w:instrText xml:space="preserve"> PAGE  \* MERGEFORMAT </w:instrText>
                          </w:r>
                          <w:r>
                            <w:rPr>
                              <w:rFonts w:hint="eastAsia" w:ascii="黑体" w:hAnsi="黑体" w:eastAsia="黑体" w:cs="黑体"/>
                              <w:sz w:val="24"/>
                            </w:rPr>
                            <w:fldChar w:fldCharType="separate"/>
                          </w:r>
                          <w:r>
                            <w:rPr>
                              <w:rFonts w:ascii="黑体" w:hAnsi="黑体" w:eastAsia="黑体" w:cs="黑体"/>
                              <w:sz w:val="24"/>
                            </w:rPr>
                            <w:t>- 25 -</w:t>
                          </w:r>
                          <w:r>
                            <w:rPr>
                              <w:rFonts w:hint="eastAsia" w:ascii="黑体" w:hAnsi="黑体" w:eastAsia="黑体" w:cs="黑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EBB1C03">
                    <w:pPr>
                      <w:pStyle w:val="4"/>
                      <w:rPr>
                        <w:rFonts w:ascii="黑体" w:hAnsi="黑体" w:eastAsia="黑体" w:cs="黑体"/>
                        <w:sz w:val="24"/>
                      </w:rPr>
                    </w:pPr>
                    <w:r>
                      <w:rPr>
                        <w:rFonts w:hint="eastAsia" w:ascii="黑体" w:hAnsi="黑体" w:eastAsia="黑体" w:cs="黑体"/>
                        <w:sz w:val="24"/>
                      </w:rPr>
                      <w:fldChar w:fldCharType="begin"/>
                    </w:r>
                    <w:r>
                      <w:rPr>
                        <w:rFonts w:hint="eastAsia" w:ascii="黑体" w:hAnsi="黑体" w:eastAsia="黑体" w:cs="黑体"/>
                        <w:sz w:val="24"/>
                      </w:rPr>
                      <w:instrText xml:space="preserve"> PAGE  \* MERGEFORMAT </w:instrText>
                    </w:r>
                    <w:r>
                      <w:rPr>
                        <w:rFonts w:hint="eastAsia" w:ascii="黑体" w:hAnsi="黑体" w:eastAsia="黑体" w:cs="黑体"/>
                        <w:sz w:val="24"/>
                      </w:rPr>
                      <w:fldChar w:fldCharType="separate"/>
                    </w:r>
                    <w:r>
                      <w:rPr>
                        <w:rFonts w:ascii="黑体" w:hAnsi="黑体" w:eastAsia="黑体" w:cs="黑体"/>
                        <w:sz w:val="24"/>
                      </w:rPr>
                      <w:t>- 25 -</w:t>
                    </w:r>
                    <w:r>
                      <w:rPr>
                        <w:rFonts w:hint="eastAsia" w:ascii="黑体" w:hAnsi="黑体" w:eastAsia="黑体" w:cs="黑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69906498"/>
    <w:rsid w:val="49D41ECB"/>
    <w:rsid w:val="6990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ind w:left="420" w:leftChars="200"/>
    </w:pPr>
    <w:rPr>
      <w:rFonts w:eastAsia="仿宋_GB2312"/>
      <w:sz w:val="32"/>
      <w:szCs w:val="20"/>
    </w:rPr>
  </w:style>
  <w:style w:type="paragraph" w:styleId="4">
    <w:name w:val="footer"/>
    <w:basedOn w:val="1"/>
    <w:next w:val="1"/>
    <w:qFormat/>
    <w:uiPriority w:val="0"/>
    <w:pPr>
      <w:tabs>
        <w:tab w:val="center" w:pos="4153"/>
        <w:tab w:val="right" w:pos="8306"/>
      </w:tabs>
      <w:snapToGrid w:val="0"/>
      <w:jc w:val="left"/>
    </w:pPr>
    <w:rPr>
      <w:sz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11936</Words>
  <Characters>12041</Characters>
  <Lines>0</Lines>
  <Paragraphs>0</Paragraphs>
  <TotalTime>0</TotalTime>
  <ScaleCrop>false</ScaleCrop>
  <LinksUpToDate>false</LinksUpToDate>
  <CharactersWithSpaces>12251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2024-07-05T08:03:00Z</dcterms:created>
  <dc:creator>李成</dc:creator>
  <cp:lastModifiedBy>vivianL</cp:lastModifiedBy>
  <dcterms:modified xsi:type="dcterms:W3CDTF">2024-11-27T03:25:38Z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83135B3C592942ACAEC9BA201EB707CA_11</vt:lpwstr>
  </property>
</Properties>
</file>