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  <w:lang w:eastAsia="zh-CN"/>
        </w:rPr>
        <w:t>保安镇</w:t>
      </w: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统计分局2022年工作总结及下一年度工作计划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镇统计分局全面贯彻落实省市统计工作和经济工作会议精神，以适应经济发展新常态为主线，深化统计改革，完善基础工作，不断强化对统计调查能力、统计数据质量和统计公信力的严格要求，及时对全镇经济社会运行情况进行检测，现对本年度各项统计工作开展情况进行如下汇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（一）规模以上工业产值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全年任务59亿元。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全镇全年完成52.03亿元，完成全年目标任务的88.2%，同比下降6.6%。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（二）固定资产投资额</w:t>
      </w:r>
      <w:r>
        <w:rPr>
          <w:rFonts w:hint="eastAsia" w:ascii="楷体_GB2312" w:hAnsi="楷体_GB2312" w:eastAsia="楷体_GB2312" w:cs="楷体_GB2312"/>
          <w:sz w:val="32"/>
          <w:szCs w:val="32"/>
        </w:rPr>
        <w:t>全年任务34.3亿元（其中：工业固投17亿元，技改固投6亿元）。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全镇全年完成19.46亿元（其中：工业固投9.49亿元，技改固投3.16亿元），完成全年目标任务的56.7%，同比增长5.8%。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（三）限额以上消费品零售额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全年任务1.54亿元。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全镇全年完成1.47亿元，完成全年目标任务的95.5%，同比增长14.0%。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（四）个转企全年任务22户。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全镇全年完成个转企28户，超额完成市定任务。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（五）“四个一百”完成情况。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定5000万元以上项目入库任务12个，全镇全年完成16个，超额完成全年任务；规模以上工业进规全年任务4个，全年重点培育了尖峰机制砂、盛创实业、亮鑫环保建材、楚东防水、湾达建材等5家企业；限额以上商贸业全年任务5家，全年共完成4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（六）企业稳规情况。</w:t>
      </w:r>
      <w:r>
        <w:rPr>
          <w:rFonts w:hint="eastAsia" w:ascii="仿宋_GB2312" w:hAnsi="Times New Roman" w:eastAsia="仿宋_GB2312"/>
          <w:sz w:val="32"/>
          <w:szCs w:val="32"/>
        </w:rPr>
        <w:t>涉及我镇稳规企业有4家，除了永格旭机电、冶铝铝业两家公司营业收入能达到“规上工业”要求的营业收入标准，其余两家（湖北广通石业、金九龙水泥纤维管业）一直属于挂库管理，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暂</w:t>
      </w:r>
      <w:r>
        <w:rPr>
          <w:rFonts w:hint="eastAsia" w:ascii="仿宋_GB2312" w:hAnsi="Times New Roman" w:eastAsia="仿宋_GB2312"/>
          <w:sz w:val="32"/>
          <w:szCs w:val="32"/>
        </w:rPr>
        <w:t>未解锁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而</w:t>
      </w:r>
      <w:r>
        <w:rPr>
          <w:rFonts w:hint="eastAsia" w:ascii="仿宋_GB2312" w:hAnsi="Times New Roman" w:eastAsia="仿宋_GB2312"/>
          <w:sz w:val="32"/>
          <w:szCs w:val="32"/>
        </w:rPr>
        <w:t>无法上报数据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（七）项目库存及入库情况。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1.项目库存情况：截至年底，库存项目10个，共计7.09亿元。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2.项目入库完成情况：全年共入库项目20个，其中5000万元以上16个；全年总入库金额26.20亿元。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企业电子统计台账工作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1.工业企业电子台账开展情况：规模以上工业企业25家已全部完成安装。其中正祥环保、尖峰水泥数据导入成功但无法生成报表，已联系软件公司处理，系统待优化中。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2.商贸业、服务业电子台账开展情况：11家已全部安装完成。其中新天地购物广场因企业台账和电子台账软件名录不同，无法导入；尹介元电子商务企业统计员暂不会进行台账相关操作。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样本轮换工作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1.我镇茶山村农产品及粮食产量抽样调查工作已全面完成，2023年已轮换至其他乡镇。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2、我镇高溪、桃树两个样本村20户记账户5年农村住户调查抽样工作已圆满完成，现阶段5年期轮换至我镇南阳村10户记账户，抽样记账工作正在顺利开展中。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四、人口抽样调查工作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人口抽样调查工作于2022年10月开始筹备，我镇株树村作为抽样调查样本点，由国家统计局抽取三个普查小区经过862个住房单元核查、40户住户正式调查、人员去向核查、生育核查等四个阶段，该项工作已于11月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五、存在问题及困难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（一）规上工业发展活力不足。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今年虽有5家重点培育的工业企业，但工业进规尚未破零，主要原因在于工业企业规模较小、发展较慢，主营业务收入难以达到入统门槛（2000万元），以及部分企业财务制度不健全，采取收付实现制，导致实际财务账面数据偏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（二）规上商贸业发展遭遇瓶颈。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当前我镇企业数量虽大，但总体规模较小且多为不按规定开票的个体户，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大型的商场性质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企业数量严重不足；餐饮业在规模、营收额和账目规范性上与进限条件相差甚远，难以发展成规上企业。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（三）规上服务业培育缺乏突破口。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镇现有服务业企业数量较少，主要还是以土石运输为主的服务业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除了一家已经进规的现代服务业企业（陈锋土石方有限公司）外，其余几家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以个人车辆挂靠为主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小型的车队公司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难以达到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服务业进规的条件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，使我镇难以完成本年度服务业进规任务。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（四）固定资产投资缺乏后劲。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前我镇投资项目数量较少、投资额较小，使得库存额度严重不足。加之新增项目开工力度较低、资料不够全面所造成的的入库成功率低等原因，使我镇经济数据出现了恶性循环倾向。此外，受疫所带来的资金、人力受限情影响，镇内招商引资力度、服务意识态度还有待提高，未能及时解决项目进驻后所产生的问题（如</w:t>
      </w:r>
      <w:r>
        <w:rPr>
          <w:rFonts w:hint="eastAsia" w:ascii="仿宋_GB2312" w:hAnsi="仿宋_GB2312" w:eastAsia="仿宋_GB2312" w:cs="仿宋_GB2312"/>
          <w:sz w:val="32"/>
          <w:szCs w:val="32"/>
        </w:rPr>
        <w:t>东冶包装、正祥环保两家企业的基础设施建设奖补资金尚未兑现；冶铝建材厂房租金奖补资金尚未兑现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），给全镇资金带来了较大压力，在固投上也遭遇了“无数据可报”的困境。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（五）项目谋划及建设上存在短板。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各口对各领域项目缺乏长远谋划，尤其是对三争项目谋划不足，缺乏可包装项目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；项目前期工作布置不能合理摆布，导致部分环节所需时间过长、项目运作进展缓慢；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项目建设投入不足，部分项目实际投入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难以</w:t>
      </w:r>
      <w:r>
        <w:rPr>
          <w:rFonts w:hint="eastAsia" w:ascii="仿宋_GB2312" w:hAnsi="仿宋_GB2312" w:eastAsia="仿宋_GB2312" w:cs="仿宋_GB2312"/>
          <w:sz w:val="32"/>
          <w:szCs w:val="32"/>
        </w:rPr>
        <w:t>按计划足额投资建设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（六）用地指标上存在限制。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新引进的项目用地需求较大，目前我镇存量土地较少，在一定程度上限制了我镇招商引资项目的签约落地。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六、下一年度工作计划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（一）聚焦固投弱项，积极谋划项目。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分局已与第三方公司专业人士形成合力，在很大程度上解决了因合同等资料质量问题。而对于“无项目可包装”、“无数据可报”这一困境，下一步形成例会制度，定期召开项目碰头会，各口收集项目报至统计分局进行包装入库，确保项目库储存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（二）着眼进规短板，完善企业服务。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本年度我镇工业、商贸业、服务业进规状况不甚理想，建议镇领导建立完善的全员分包联系企业机制，既要加强对企业负责人的政策解读，做通思想工作，积极配合进规进限；还要通过定时走访，详细了解企业得经营状况与急难愁盼，及时进行分析研判，针对性的提供政策、资金、技术帮扶，实现政务服务与企业项目的无缝对接，不断提升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（三）围绕具体项目，推动经济建设。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结合疫情防控逐渐放开的大背景，为快速将工作重心转回经济建设上来，建议各部门高效协作、快速反应，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加快项目建设并及时入库。确保信旺二期、百凯城镇综合体等项目及时开工，始终保持及时办理入库相关手续的积极性。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加大现有企业改造升级力度，进一步推动传统产业转型升级，助力腾索科技等项目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尽快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扩大产能。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加强重点项目备案及申报工作，加强调度，确保笔架山矿山修复及土地复垦、鑫财海成品库技改等一批项目快速开工。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E2AC5"/>
    <w:multiLevelType w:val="singleLevel"/>
    <w:tmpl w:val="B8EE2A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E32D75"/>
    <w:multiLevelType w:val="singleLevel"/>
    <w:tmpl w:val="2CE32D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GZjZmJmZDk3OGMyNzA1MTFjMTljMWYyMTdlOWYifQ=="/>
  </w:docVars>
  <w:rsids>
    <w:rsidRoot w:val="1E737E61"/>
    <w:rsid w:val="00D5688F"/>
    <w:rsid w:val="047915F8"/>
    <w:rsid w:val="09167A44"/>
    <w:rsid w:val="0AD11E75"/>
    <w:rsid w:val="0D553231"/>
    <w:rsid w:val="12A8795F"/>
    <w:rsid w:val="16185CE3"/>
    <w:rsid w:val="18155A97"/>
    <w:rsid w:val="1B7A20B5"/>
    <w:rsid w:val="1B950C9D"/>
    <w:rsid w:val="1E737E61"/>
    <w:rsid w:val="27415F3E"/>
    <w:rsid w:val="28260761"/>
    <w:rsid w:val="28822224"/>
    <w:rsid w:val="28C055AB"/>
    <w:rsid w:val="2B1D1A6C"/>
    <w:rsid w:val="2B6D70C3"/>
    <w:rsid w:val="2C737FBC"/>
    <w:rsid w:val="3C011D0B"/>
    <w:rsid w:val="3CEE4483"/>
    <w:rsid w:val="40621EEF"/>
    <w:rsid w:val="435C1F1C"/>
    <w:rsid w:val="45260A34"/>
    <w:rsid w:val="469A5235"/>
    <w:rsid w:val="4CC452AB"/>
    <w:rsid w:val="51A258E6"/>
    <w:rsid w:val="52A116FA"/>
    <w:rsid w:val="546F0621"/>
    <w:rsid w:val="57270112"/>
    <w:rsid w:val="57B37ED2"/>
    <w:rsid w:val="57EC3417"/>
    <w:rsid w:val="5A284461"/>
    <w:rsid w:val="5EDA4AE7"/>
    <w:rsid w:val="65785C13"/>
    <w:rsid w:val="664D46E2"/>
    <w:rsid w:val="67896ED4"/>
    <w:rsid w:val="687A5CD7"/>
    <w:rsid w:val="6C692E30"/>
    <w:rsid w:val="6FC34F4E"/>
    <w:rsid w:val="71A05EE7"/>
    <w:rsid w:val="74D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2466</Characters>
  <Lines>0</Lines>
  <Paragraphs>0</Paragraphs>
  <TotalTime>40</TotalTime>
  <ScaleCrop>false</ScaleCrop>
  <LinksUpToDate>false</LinksUpToDate>
  <CharactersWithSpaces>2469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2022-12-09T01:01:00Z</dcterms:created>
  <dc:creator>しようがない風</dc:creator>
  <cp:lastModifiedBy>Administrator</cp:lastModifiedBy>
  <dcterms:modified xsi:type="dcterms:W3CDTF">2023-04-24T02:11:16Z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A7ABE496971947E6A75509088A4B05CE_13</vt:lpwstr>
  </property>
</Properties>
</file>