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ascii="楷体_GB2312" w:eastAsia="楷体_GB2312"/>
          <w:b/>
          <w:sz w:val="44"/>
          <w:szCs w:val="44"/>
        </w:rPr>
      </w:pPr>
      <w:r>
        <w:rPr>
          <w:rFonts w:hint="eastAsia" w:asciiTheme="majorEastAsia" w:hAnsiTheme="majorEastAsia" w:eastAsiaTheme="majorEastAsia" w:cstheme="majorEastAsia"/>
          <w:b/>
          <w:sz w:val="44"/>
          <w:szCs w:val="44"/>
        </w:rPr>
        <w:t>大冶</w:t>
      </w:r>
      <w:r>
        <w:rPr>
          <w:rFonts w:asciiTheme="majorEastAsia" w:hAnsiTheme="majorEastAsia" w:eastAsiaTheme="majorEastAsia" w:cstheme="majorEastAsia"/>
          <w:b/>
          <w:sz w:val="44"/>
          <w:szCs w:val="44"/>
        </w:rPr>
        <w:t>市医疗保障事业发展“十四五”规划</w:t>
      </w:r>
    </w:p>
    <w:p>
      <w:pPr>
        <w:widowControl/>
        <w:tabs>
          <w:tab w:val="left" w:pos="3557"/>
        </w:tabs>
        <w:spacing w:line="300" w:lineRule="auto"/>
        <w:rPr>
          <w:rFonts w:ascii="方正大标宋简体" w:eastAsia="方正大标宋简体"/>
          <w:b/>
          <w:sz w:val="58"/>
          <w:szCs w:val="52"/>
        </w:rPr>
      </w:pPr>
      <w:r>
        <w:rPr>
          <w:rFonts w:ascii="方正大标宋简体" w:eastAsia="方正大标宋简体"/>
          <w:b/>
          <w:sz w:val="58"/>
          <w:szCs w:val="52"/>
        </w:rPr>
        <w:tab/>
      </w:r>
    </w:p>
    <w:p>
      <w:pPr>
        <w:widowControl/>
        <w:spacing w:line="300" w:lineRule="auto"/>
        <w:jc w:val="center"/>
        <w:rPr>
          <w:rFonts w:ascii="楷体_GB2312" w:eastAsia="楷体_GB2312"/>
          <w:b/>
          <w:sz w:val="44"/>
          <w:szCs w:val="44"/>
        </w:rPr>
      </w:pPr>
      <w:r>
        <w:rPr>
          <w:rFonts w:hint="eastAsia" w:ascii="楷体_GB2312" w:eastAsia="楷体_GB2312"/>
          <w:b/>
          <w:sz w:val="44"/>
          <w:szCs w:val="44"/>
        </w:rPr>
        <w:t>（</w:t>
      </w:r>
      <w:r>
        <w:rPr>
          <w:rFonts w:hint="eastAsia" w:ascii="楷体_GB2312" w:eastAsia="楷体_GB2312"/>
          <w:b/>
          <w:sz w:val="44"/>
          <w:szCs w:val="44"/>
          <w:lang w:val="en-US" w:eastAsia="zh-CN"/>
        </w:rPr>
        <w:t>征求意见稿</w:t>
      </w:r>
      <w:bookmarkStart w:id="50" w:name="_GoBack"/>
      <w:bookmarkEnd w:id="50"/>
      <w:r>
        <w:rPr>
          <w:rFonts w:hint="eastAsia" w:ascii="楷体_GB2312" w:eastAsia="楷体_GB2312"/>
          <w:b/>
          <w:sz w:val="44"/>
          <w:szCs w:val="44"/>
        </w:rPr>
        <w:t>）</w:t>
      </w: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楷体_GB2312" w:eastAsia="楷体_GB2312"/>
          <w:b/>
          <w:sz w:val="44"/>
          <w:szCs w:val="44"/>
        </w:rPr>
      </w:pPr>
    </w:p>
    <w:p>
      <w:pPr>
        <w:widowControl/>
        <w:spacing w:line="300" w:lineRule="auto"/>
        <w:jc w:val="center"/>
        <w:rPr>
          <w:rFonts w:ascii="Times New Roman" w:hAnsi="Times New Roman" w:eastAsia="楷体" w:cs="Times New Roman"/>
          <w:b/>
          <w:sz w:val="36"/>
          <w:szCs w:val="36"/>
        </w:rPr>
      </w:pPr>
      <w:r>
        <w:rPr>
          <w:rFonts w:ascii="Times New Roman" w:hAnsi="Times New Roman" w:eastAsia="楷体" w:cs="Times New Roman"/>
          <w:b/>
          <w:sz w:val="36"/>
          <w:szCs w:val="36"/>
        </w:rPr>
        <w:t>2022年7月</w:t>
      </w:r>
    </w:p>
    <w:p>
      <w:pPr>
        <w:widowControl/>
        <w:spacing w:line="300" w:lineRule="auto"/>
        <w:jc w:val="center"/>
        <w:rPr>
          <w:b/>
          <w:sz w:val="32"/>
          <w:szCs w:val="32"/>
        </w:rPr>
      </w:pPr>
    </w:p>
    <w:p>
      <w:pPr>
        <w:widowControl/>
        <w:spacing w:line="300" w:lineRule="auto"/>
        <w:jc w:val="center"/>
        <w:rPr>
          <w:b/>
          <w:sz w:val="32"/>
          <w:szCs w:val="32"/>
        </w:rPr>
      </w:pPr>
    </w:p>
    <w:p>
      <w:pPr>
        <w:widowControl/>
        <w:spacing w:line="300" w:lineRule="auto"/>
        <w:jc w:val="center"/>
        <w:rPr>
          <w:b/>
          <w:sz w:val="32"/>
          <w:szCs w:val="32"/>
        </w:rPr>
        <w:sectPr>
          <w:footerReference r:id="rId3" w:type="default"/>
          <w:pgSz w:w="11906" w:h="16838"/>
          <w:pgMar w:top="1440" w:right="1800" w:bottom="1440" w:left="1800" w:header="851" w:footer="992" w:gutter="0"/>
          <w:cols w:space="425" w:num="1"/>
          <w:titlePg/>
          <w:docGrid w:type="lines" w:linePitch="312" w:charSpace="0"/>
        </w:sectPr>
      </w:pPr>
    </w:p>
    <w:sdt>
      <w:sdtPr>
        <w:rPr>
          <w:rFonts w:asciiTheme="minorHAnsi" w:hAnsiTheme="minorHAnsi" w:eastAsiaTheme="minorEastAsia" w:cstheme="minorBidi"/>
          <w:color w:val="auto"/>
          <w:kern w:val="2"/>
          <w:sz w:val="21"/>
          <w:szCs w:val="24"/>
          <w:lang w:val="zh-CN"/>
        </w:rPr>
        <w:id w:val="-1262134880"/>
        <w:docPartObj>
          <w:docPartGallery w:val="Table of Contents"/>
          <w:docPartUnique/>
        </w:docPartObj>
      </w:sdtPr>
      <w:sdtEndPr>
        <w:rPr>
          <w:rFonts w:asciiTheme="minorEastAsia" w:hAnsiTheme="minorEastAsia" w:eastAsiaTheme="minorEastAsia" w:cstheme="minorBidi"/>
          <w:b/>
          <w:bCs/>
          <w:color w:val="auto"/>
          <w:kern w:val="2"/>
          <w:sz w:val="28"/>
          <w:szCs w:val="28"/>
          <w:lang w:val="zh-CN"/>
        </w:rPr>
      </w:sdtEndPr>
      <w:sdtContent>
        <w:p>
          <w:pPr>
            <w:pStyle w:val="34"/>
            <w:spacing w:before="0" w:line="360" w:lineRule="auto"/>
            <w:jc w:val="center"/>
            <w:rPr>
              <w:rFonts w:asciiTheme="minorEastAsia" w:hAnsiTheme="minorEastAsia" w:eastAsiaTheme="minorEastAsia"/>
              <w:b/>
              <w:color w:val="auto"/>
            </w:rPr>
          </w:pPr>
          <w:r>
            <w:rPr>
              <w:rFonts w:hint="eastAsia" w:asciiTheme="minorEastAsia" w:hAnsiTheme="minorEastAsia" w:eastAsiaTheme="minorEastAsia"/>
              <w:b/>
              <w:color w:val="auto"/>
              <w:lang w:val="zh-CN"/>
            </w:rPr>
            <w:t>目  录</w:t>
          </w:r>
        </w:p>
        <w:p>
          <w:pPr>
            <w:pStyle w:val="15"/>
            <w:tabs>
              <w:tab w:val="right" w:leader="dot" w:pos="8296"/>
            </w:tabs>
            <w:spacing w:line="360" w:lineRule="auto"/>
            <w:rPr>
              <w:b/>
              <w:sz w:val="32"/>
              <w:szCs w:val="32"/>
            </w:rPr>
          </w:pPr>
          <w:r>
            <w:rPr>
              <w:rFonts w:cs="Times New Roman" w:asciiTheme="minorEastAsia" w:hAnsiTheme="minorEastAsia"/>
              <w:b/>
              <w:bCs/>
              <w:sz w:val="32"/>
              <w:szCs w:val="32"/>
              <w:lang w:val="zh-CN"/>
            </w:rPr>
            <w:fldChar w:fldCharType="begin"/>
          </w:r>
          <w:r>
            <w:rPr>
              <w:rFonts w:cs="Times New Roman" w:asciiTheme="minorEastAsia" w:hAnsiTheme="minorEastAsia"/>
              <w:b/>
              <w:bCs/>
              <w:sz w:val="32"/>
              <w:szCs w:val="32"/>
              <w:lang w:val="zh-CN"/>
            </w:rPr>
            <w:instrText xml:space="preserve"> TOC \o "1-3" \h \z \u </w:instrText>
          </w:r>
          <w:r>
            <w:rPr>
              <w:rFonts w:cs="Times New Roman" w:asciiTheme="minorEastAsia" w:hAnsiTheme="minorEastAsia"/>
              <w:b/>
              <w:bCs/>
              <w:sz w:val="32"/>
              <w:szCs w:val="32"/>
              <w:lang w:val="zh-CN"/>
            </w:rPr>
            <w:fldChar w:fldCharType="separate"/>
          </w:r>
          <w:r>
            <w:fldChar w:fldCharType="begin"/>
          </w:r>
          <w:r>
            <w:instrText xml:space="preserve"> HYPERLINK \l "_Toc110200775" </w:instrText>
          </w:r>
          <w:r>
            <w:fldChar w:fldCharType="separate"/>
          </w:r>
          <w:r>
            <w:rPr>
              <w:rStyle w:val="23"/>
              <w:b/>
              <w:sz w:val="32"/>
              <w:szCs w:val="32"/>
            </w:rPr>
            <w:t>第一章  规划基础</w:t>
          </w:r>
          <w:r>
            <w:rPr>
              <w:b/>
              <w:sz w:val="32"/>
              <w:szCs w:val="32"/>
            </w:rPr>
            <w:tab/>
          </w:r>
          <w:r>
            <w:rPr>
              <w:b/>
              <w:sz w:val="32"/>
              <w:szCs w:val="32"/>
            </w:rPr>
            <w:fldChar w:fldCharType="begin"/>
          </w:r>
          <w:r>
            <w:rPr>
              <w:b/>
              <w:sz w:val="32"/>
              <w:szCs w:val="32"/>
            </w:rPr>
            <w:instrText xml:space="preserve"> PAGEREF _Toc110200775 \h </w:instrText>
          </w:r>
          <w:r>
            <w:rPr>
              <w:b/>
              <w:sz w:val="32"/>
              <w:szCs w:val="32"/>
            </w:rPr>
            <w:fldChar w:fldCharType="separate"/>
          </w:r>
          <w:r>
            <w:rPr>
              <w:b/>
              <w:sz w:val="32"/>
              <w:szCs w:val="32"/>
            </w:rPr>
            <w:t>1</w:t>
          </w:r>
          <w:r>
            <w:rPr>
              <w:b/>
              <w:sz w:val="32"/>
              <w:szCs w:val="32"/>
            </w:rPr>
            <w:fldChar w:fldCharType="end"/>
          </w:r>
          <w:r>
            <w:rPr>
              <w:b/>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"_Toc110200776" </w:instrText>
          </w:r>
          <w:r>
            <w:fldChar w:fldCharType="separate"/>
          </w:r>
          <w:r>
            <w:rPr>
              <w:rStyle w:val="23"/>
              <w:sz w:val="32"/>
              <w:szCs w:val="32"/>
            </w:rPr>
            <w:t>第一节  发展成效</w:t>
          </w:r>
          <w:r>
            <w:rPr>
              <w:sz w:val="32"/>
              <w:szCs w:val="32"/>
            </w:rPr>
            <w:tab/>
          </w:r>
          <w:r>
            <w:rPr>
              <w:sz w:val="32"/>
              <w:szCs w:val="32"/>
            </w:rPr>
            <w:fldChar w:fldCharType="begin"/>
          </w:r>
          <w:r>
            <w:rPr>
              <w:sz w:val="32"/>
              <w:szCs w:val="32"/>
            </w:rPr>
            <w:instrText xml:space="preserve"> PAGEREF _Toc110200776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"_Toc110200777" </w:instrText>
          </w:r>
          <w:r>
            <w:fldChar w:fldCharType="separate"/>
          </w:r>
          <w:r>
            <w:rPr>
              <w:rStyle w:val="23"/>
              <w:sz w:val="32"/>
              <w:szCs w:val="32"/>
            </w:rPr>
            <w:t>第二节  面临机遇</w:t>
          </w:r>
          <w:r>
            <w:rPr>
              <w:sz w:val="32"/>
              <w:szCs w:val="32"/>
            </w:rPr>
            <w:tab/>
          </w:r>
          <w:r>
            <w:rPr>
              <w:sz w:val="32"/>
              <w:szCs w:val="32"/>
            </w:rPr>
            <w:fldChar w:fldCharType="begin"/>
          </w:r>
          <w:r>
            <w:rPr>
              <w:sz w:val="32"/>
              <w:szCs w:val="32"/>
            </w:rPr>
            <w:instrText xml:space="preserve"> PAGEREF _Toc110200777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"_Toc110200778" </w:instrText>
          </w:r>
          <w:r>
            <w:fldChar w:fldCharType="separate"/>
          </w:r>
          <w:r>
            <w:rPr>
              <w:rStyle w:val="23"/>
              <w:sz w:val="32"/>
              <w:szCs w:val="32"/>
            </w:rPr>
            <w:t>第三节  主要挑战</w:t>
          </w:r>
          <w:r>
            <w:rPr>
              <w:sz w:val="32"/>
              <w:szCs w:val="32"/>
            </w:rPr>
            <w:tab/>
          </w:r>
          <w:r>
            <w:rPr>
              <w:sz w:val="32"/>
              <w:szCs w:val="32"/>
            </w:rPr>
            <w:fldChar w:fldCharType="begin"/>
          </w:r>
          <w:r>
            <w:rPr>
              <w:sz w:val="32"/>
              <w:szCs w:val="32"/>
            </w:rPr>
            <w:instrText xml:space="preserve"> PAGEREF _Toc110200778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5"/>
            <w:tabs>
              <w:tab w:val="right" w:leader="dot" w:pos="8296"/>
            </w:tabs>
            <w:spacing w:line="360" w:lineRule="auto"/>
            <w:rPr>
              <w:b/>
              <w:sz w:val="32"/>
              <w:szCs w:val="32"/>
            </w:rPr>
          </w:pPr>
          <w:r>
            <w:fldChar w:fldCharType="begin"/>
          </w:r>
          <w:r>
            <w:instrText xml:space="preserve"> HYPERLINK \l "_Toc110200779" </w:instrText>
          </w:r>
          <w:r>
            <w:fldChar w:fldCharType="separate"/>
          </w:r>
          <w:r>
            <w:rPr>
              <w:rStyle w:val="23"/>
              <w:b/>
              <w:sz w:val="32"/>
              <w:szCs w:val="32"/>
            </w:rPr>
            <w:t>第二章  总体要求</w:t>
          </w:r>
          <w:r>
            <w:rPr>
              <w:b/>
              <w:sz w:val="32"/>
              <w:szCs w:val="32"/>
            </w:rPr>
            <w:tab/>
          </w:r>
          <w:r>
            <w:rPr>
              <w:b/>
              <w:sz w:val="32"/>
              <w:szCs w:val="32"/>
            </w:rPr>
            <w:fldChar w:fldCharType="begin"/>
          </w:r>
          <w:r>
            <w:rPr>
              <w:b/>
              <w:sz w:val="32"/>
              <w:szCs w:val="32"/>
            </w:rPr>
            <w:instrText xml:space="preserve"> PAGEREF _Toc110200779 \h </w:instrText>
          </w:r>
          <w:r>
            <w:rPr>
              <w:b/>
              <w:sz w:val="32"/>
              <w:szCs w:val="32"/>
            </w:rPr>
            <w:fldChar w:fldCharType="separate"/>
          </w:r>
          <w:r>
            <w:rPr>
              <w:b/>
              <w:sz w:val="32"/>
              <w:szCs w:val="32"/>
            </w:rPr>
            <w:t>8</w:t>
          </w:r>
          <w:r>
            <w:rPr>
              <w:b/>
              <w:sz w:val="32"/>
              <w:szCs w:val="32"/>
            </w:rPr>
            <w:fldChar w:fldCharType="end"/>
          </w:r>
          <w:r>
            <w:rPr>
              <w:b/>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"_Toc110200780" </w:instrText>
          </w:r>
          <w:r>
            <w:fldChar w:fldCharType="separate"/>
          </w:r>
          <w:r>
            <w:rPr>
              <w:rStyle w:val="23"/>
              <w:sz w:val="32"/>
              <w:szCs w:val="32"/>
            </w:rPr>
            <w:t>第一节  指导思想</w:t>
          </w:r>
          <w:r>
            <w:rPr>
              <w:sz w:val="32"/>
              <w:szCs w:val="32"/>
            </w:rPr>
            <w:tab/>
          </w:r>
          <w:r>
            <w:rPr>
              <w:sz w:val="32"/>
              <w:szCs w:val="32"/>
            </w:rPr>
            <w:fldChar w:fldCharType="begin"/>
          </w:r>
          <w:r>
            <w:rPr>
              <w:sz w:val="32"/>
              <w:szCs w:val="32"/>
            </w:rPr>
            <w:instrText xml:space="preserve"> PAGEREF _Toc110200780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"_Toc110200781" </w:instrText>
          </w:r>
          <w:r>
            <w:fldChar w:fldCharType="separate"/>
          </w:r>
          <w:r>
            <w:rPr>
              <w:rStyle w:val="23"/>
              <w:sz w:val="32"/>
              <w:szCs w:val="32"/>
            </w:rPr>
            <w:t>第二节  基本原则</w:t>
          </w:r>
          <w:r>
            <w:rPr>
              <w:sz w:val="32"/>
              <w:szCs w:val="32"/>
            </w:rPr>
            <w:tab/>
          </w:r>
          <w:r>
            <w:rPr>
              <w:sz w:val="32"/>
              <w:szCs w:val="32"/>
            </w:rPr>
            <w:fldChar w:fldCharType="begin"/>
          </w:r>
          <w:r>
            <w:rPr>
              <w:sz w:val="32"/>
              <w:szCs w:val="32"/>
            </w:rPr>
            <w:instrText xml:space="preserve"> PAGEREF _Toc110200781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"_Toc110200782" </w:instrText>
          </w:r>
          <w:r>
            <w:fldChar w:fldCharType="separate"/>
          </w:r>
          <w:r>
            <w:rPr>
              <w:rStyle w:val="23"/>
              <w:sz w:val="32"/>
              <w:szCs w:val="32"/>
            </w:rPr>
            <w:t>一、坚持党建引领、人民至上</w:t>
          </w:r>
          <w:r>
            <w:rPr>
              <w:sz w:val="32"/>
              <w:szCs w:val="32"/>
            </w:rPr>
            <w:tab/>
          </w:r>
          <w:r>
            <w:rPr>
              <w:sz w:val="32"/>
              <w:szCs w:val="32"/>
            </w:rPr>
            <w:fldChar w:fldCharType="begin"/>
          </w:r>
          <w:r>
            <w:rPr>
              <w:sz w:val="32"/>
              <w:szCs w:val="32"/>
            </w:rPr>
            <w:instrText xml:space="preserve"> PAGEREF _Toc110200782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"_Toc110200783" </w:instrText>
          </w:r>
          <w:r>
            <w:fldChar w:fldCharType="separate"/>
          </w:r>
          <w:r>
            <w:rPr>
              <w:rStyle w:val="23"/>
              <w:sz w:val="32"/>
              <w:szCs w:val="32"/>
            </w:rPr>
            <w:t>二、坚持覆盖全民、应保尽保</w:t>
          </w:r>
          <w:r>
            <w:rPr>
              <w:sz w:val="32"/>
              <w:szCs w:val="32"/>
            </w:rPr>
            <w:tab/>
          </w:r>
          <w:r>
            <w:rPr>
              <w:sz w:val="32"/>
              <w:szCs w:val="32"/>
            </w:rPr>
            <w:fldChar w:fldCharType="begin"/>
          </w:r>
          <w:r>
            <w:rPr>
              <w:sz w:val="32"/>
              <w:szCs w:val="32"/>
            </w:rPr>
            <w:instrText xml:space="preserve"> PAGEREF _Toc110200783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"_Toc110200784" </w:instrText>
          </w:r>
          <w:r>
            <w:fldChar w:fldCharType="separate"/>
          </w:r>
          <w:r>
            <w:rPr>
              <w:rStyle w:val="23"/>
              <w:sz w:val="32"/>
              <w:szCs w:val="32"/>
            </w:rPr>
            <w:t>三、坚持保障基本、公平适度</w:t>
          </w:r>
          <w:r>
            <w:rPr>
              <w:sz w:val="32"/>
              <w:szCs w:val="32"/>
            </w:rPr>
            <w:tab/>
          </w:r>
          <w:r>
            <w:rPr>
              <w:sz w:val="32"/>
              <w:szCs w:val="32"/>
            </w:rPr>
            <w:fldChar w:fldCharType="begin"/>
          </w:r>
          <w:r>
            <w:rPr>
              <w:sz w:val="32"/>
              <w:szCs w:val="32"/>
            </w:rPr>
            <w:instrText xml:space="preserve"> PAGEREF _Toc110200784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"_Toc110200785" </w:instrText>
          </w:r>
          <w:r>
            <w:fldChar w:fldCharType="separate"/>
          </w:r>
          <w:r>
            <w:rPr>
              <w:rStyle w:val="23"/>
              <w:sz w:val="32"/>
              <w:szCs w:val="32"/>
            </w:rPr>
            <w:t>四、坚持优化服务、信息赋能</w:t>
          </w:r>
          <w:r>
            <w:rPr>
              <w:sz w:val="32"/>
              <w:szCs w:val="32"/>
            </w:rPr>
            <w:tab/>
          </w:r>
          <w:r>
            <w:rPr>
              <w:sz w:val="32"/>
              <w:szCs w:val="32"/>
            </w:rPr>
            <w:fldChar w:fldCharType="begin"/>
          </w:r>
          <w:r>
            <w:rPr>
              <w:sz w:val="32"/>
              <w:szCs w:val="32"/>
            </w:rPr>
            <w:instrText xml:space="preserve"> PAGEREF _Toc110200785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"_Toc110200786" </w:instrText>
          </w:r>
          <w:r>
            <w:fldChar w:fldCharType="separate"/>
          </w:r>
          <w:r>
            <w:rPr>
              <w:rStyle w:val="23"/>
              <w:sz w:val="32"/>
              <w:szCs w:val="32"/>
            </w:rPr>
            <w:t>五、坚持依法治理、协同高效</w:t>
          </w:r>
          <w:r>
            <w:rPr>
              <w:sz w:val="32"/>
              <w:szCs w:val="32"/>
            </w:rPr>
            <w:tab/>
          </w:r>
          <w:r>
            <w:rPr>
              <w:sz w:val="32"/>
              <w:szCs w:val="32"/>
            </w:rPr>
            <w:fldChar w:fldCharType="begin"/>
          </w:r>
          <w:r>
            <w:rPr>
              <w:sz w:val="32"/>
              <w:szCs w:val="32"/>
            </w:rPr>
            <w:instrText xml:space="preserve"> PAGEREF _Toc110200786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"_Toc110200787" </w:instrText>
          </w:r>
          <w:r>
            <w:fldChar w:fldCharType="separate"/>
          </w:r>
          <w:r>
            <w:rPr>
              <w:rStyle w:val="23"/>
              <w:sz w:val="32"/>
              <w:szCs w:val="32"/>
            </w:rPr>
            <w:t>第三节  主要目标</w:t>
          </w:r>
          <w:r>
            <w:rPr>
              <w:sz w:val="32"/>
              <w:szCs w:val="32"/>
            </w:rPr>
            <w:tab/>
          </w:r>
          <w:r>
            <w:rPr>
              <w:sz w:val="32"/>
              <w:szCs w:val="32"/>
            </w:rPr>
            <w:fldChar w:fldCharType="begin"/>
          </w:r>
          <w:r>
            <w:rPr>
              <w:sz w:val="32"/>
              <w:szCs w:val="32"/>
            </w:rPr>
            <w:instrText xml:space="preserve"> PAGEREF _Toc110200787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"_Toc110200788" </w:instrText>
          </w:r>
          <w:r>
            <w:fldChar w:fldCharType="separate"/>
          </w:r>
          <w:r>
            <w:rPr>
              <w:rStyle w:val="23"/>
              <w:sz w:val="32"/>
              <w:szCs w:val="32"/>
            </w:rPr>
            <w:t>一、保障体系更加完善</w:t>
          </w:r>
          <w:r>
            <w:rPr>
              <w:sz w:val="32"/>
              <w:szCs w:val="32"/>
            </w:rPr>
            <w:tab/>
          </w:r>
          <w:r>
            <w:rPr>
              <w:sz w:val="32"/>
              <w:szCs w:val="32"/>
            </w:rPr>
            <w:fldChar w:fldCharType="begin"/>
          </w:r>
          <w:r>
            <w:rPr>
              <w:sz w:val="32"/>
              <w:szCs w:val="32"/>
            </w:rPr>
            <w:instrText xml:space="preserve"> PAGEREF _Toc110200788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"_Toc110200789" </w:instrText>
          </w:r>
          <w:r>
            <w:fldChar w:fldCharType="separate"/>
          </w:r>
          <w:r>
            <w:rPr>
              <w:rStyle w:val="23"/>
              <w:sz w:val="32"/>
              <w:szCs w:val="32"/>
            </w:rPr>
            <w:t>二、待遇保障公平适度</w:t>
          </w:r>
          <w:r>
            <w:rPr>
              <w:sz w:val="32"/>
              <w:szCs w:val="32"/>
            </w:rPr>
            <w:tab/>
          </w:r>
          <w:r>
            <w:rPr>
              <w:sz w:val="32"/>
              <w:szCs w:val="32"/>
            </w:rPr>
            <w:fldChar w:fldCharType="begin"/>
          </w:r>
          <w:r>
            <w:rPr>
              <w:sz w:val="32"/>
              <w:szCs w:val="32"/>
            </w:rPr>
            <w:instrText xml:space="preserve"> PAGEREF _Toc110200789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"_Toc110200790" </w:instrText>
          </w:r>
          <w:r>
            <w:fldChar w:fldCharType="separate"/>
          </w:r>
          <w:r>
            <w:rPr>
              <w:rStyle w:val="23"/>
              <w:sz w:val="32"/>
              <w:szCs w:val="32"/>
            </w:rPr>
            <w:t>三、医保服务优质便捷</w:t>
          </w:r>
          <w:r>
            <w:rPr>
              <w:sz w:val="32"/>
              <w:szCs w:val="32"/>
            </w:rPr>
            <w:tab/>
          </w:r>
          <w:r>
            <w:rPr>
              <w:sz w:val="32"/>
              <w:szCs w:val="32"/>
            </w:rPr>
            <w:fldChar w:fldCharType="begin"/>
          </w:r>
          <w:r>
            <w:rPr>
              <w:sz w:val="32"/>
              <w:szCs w:val="32"/>
            </w:rPr>
            <w:instrText xml:space="preserve"> PAGEREF _Toc110200790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"_Toc110200791" </w:instrText>
          </w:r>
          <w:r>
            <w:fldChar w:fldCharType="separate"/>
          </w:r>
          <w:r>
            <w:rPr>
              <w:rStyle w:val="23"/>
              <w:sz w:val="32"/>
              <w:szCs w:val="32"/>
            </w:rPr>
            <w:t>四、基金监管严密有效</w:t>
          </w:r>
          <w:r>
            <w:rPr>
              <w:sz w:val="32"/>
              <w:szCs w:val="32"/>
            </w:rPr>
            <w:tab/>
          </w:r>
          <w:r>
            <w:rPr>
              <w:sz w:val="32"/>
              <w:szCs w:val="32"/>
            </w:rPr>
            <w:fldChar w:fldCharType="begin"/>
          </w:r>
          <w:r>
            <w:rPr>
              <w:sz w:val="32"/>
              <w:szCs w:val="32"/>
            </w:rPr>
            <w:instrText xml:space="preserve"> PAGEREF _Toc110200791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"_Toc110200792" </w:instrText>
          </w:r>
          <w:r>
            <w:fldChar w:fldCharType="separate"/>
          </w:r>
          <w:r>
            <w:rPr>
              <w:rStyle w:val="23"/>
              <w:sz w:val="32"/>
              <w:szCs w:val="32"/>
            </w:rPr>
            <w:t>五、医保治理协同高效</w:t>
          </w:r>
          <w:r>
            <w:rPr>
              <w:sz w:val="32"/>
              <w:szCs w:val="32"/>
            </w:rPr>
            <w:tab/>
          </w:r>
          <w:r>
            <w:rPr>
              <w:sz w:val="32"/>
              <w:szCs w:val="32"/>
            </w:rPr>
            <w:fldChar w:fldCharType="begin"/>
          </w:r>
          <w:r>
            <w:rPr>
              <w:sz w:val="32"/>
              <w:szCs w:val="32"/>
            </w:rPr>
            <w:instrText xml:space="preserve"> PAGEREF _Toc110200792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5"/>
            <w:tabs>
              <w:tab w:val="right" w:leader="dot" w:pos="8296"/>
            </w:tabs>
            <w:spacing w:line="360" w:lineRule="auto"/>
            <w:rPr>
              <w:b/>
              <w:sz w:val="32"/>
              <w:szCs w:val="32"/>
            </w:rPr>
          </w:pPr>
          <w:r>
            <w:fldChar w:fldCharType="begin"/>
          </w:r>
          <w:r>
            <w:instrText xml:space="preserve"> HYPERLINK \l "_Toc110200793" </w:instrText>
          </w:r>
          <w:r>
            <w:fldChar w:fldCharType="separate"/>
          </w:r>
          <w:r>
            <w:rPr>
              <w:rStyle w:val="23"/>
              <w:b/>
              <w:sz w:val="32"/>
              <w:szCs w:val="32"/>
            </w:rPr>
            <w:t>第三章  重点任务</w:t>
          </w:r>
          <w:r>
            <w:rPr>
              <w:b/>
              <w:sz w:val="32"/>
              <w:szCs w:val="32"/>
            </w:rPr>
            <w:tab/>
          </w:r>
          <w:r>
            <w:rPr>
              <w:b/>
              <w:sz w:val="32"/>
              <w:szCs w:val="32"/>
            </w:rPr>
            <w:fldChar w:fldCharType="begin"/>
          </w:r>
          <w:r>
            <w:rPr>
              <w:b/>
              <w:sz w:val="32"/>
              <w:szCs w:val="32"/>
            </w:rPr>
            <w:instrText xml:space="preserve"> PAGEREF _Toc110200793 \h </w:instrText>
          </w:r>
          <w:r>
            <w:rPr>
              <w:b/>
              <w:sz w:val="32"/>
              <w:szCs w:val="32"/>
            </w:rPr>
            <w:fldChar w:fldCharType="separate"/>
          </w:r>
          <w:r>
            <w:rPr>
              <w:b/>
              <w:sz w:val="32"/>
              <w:szCs w:val="32"/>
            </w:rPr>
            <w:t>14</w:t>
          </w:r>
          <w:r>
            <w:rPr>
              <w:b/>
              <w:sz w:val="32"/>
              <w:szCs w:val="32"/>
            </w:rPr>
            <w:fldChar w:fldCharType="end"/>
          </w:r>
          <w:r>
            <w:rPr>
              <w:b/>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"_Toc110200794" </w:instrText>
          </w:r>
          <w:r>
            <w:fldChar w:fldCharType="separate"/>
          </w:r>
          <w:r>
            <w:rPr>
              <w:rStyle w:val="23"/>
              <w:sz w:val="32"/>
              <w:szCs w:val="32"/>
            </w:rPr>
            <w:t>第一节  健全多层次医疗保障体系</w:t>
          </w:r>
          <w:r>
            <w:rPr>
              <w:sz w:val="32"/>
              <w:szCs w:val="32"/>
            </w:rPr>
            <w:tab/>
          </w:r>
          <w:r>
            <w:rPr>
              <w:sz w:val="32"/>
              <w:szCs w:val="32"/>
            </w:rPr>
            <w:fldChar w:fldCharType="begin"/>
          </w:r>
          <w:r>
            <w:rPr>
              <w:sz w:val="32"/>
              <w:szCs w:val="32"/>
            </w:rPr>
            <w:instrText xml:space="preserve"> PAGEREF _Toc110200794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"_Toc110200795" </w:instrText>
          </w:r>
          <w:r>
            <w:fldChar w:fldCharType="separate"/>
          </w:r>
          <w:r>
            <w:rPr>
              <w:rStyle w:val="23"/>
              <w:sz w:val="32"/>
              <w:szCs w:val="32"/>
            </w:rPr>
            <w:t>一、健全基本医保制度</w:t>
          </w:r>
          <w:r>
            <w:rPr>
              <w:sz w:val="32"/>
              <w:szCs w:val="32"/>
            </w:rPr>
            <w:tab/>
          </w:r>
          <w:r>
            <w:rPr>
              <w:sz w:val="32"/>
              <w:szCs w:val="32"/>
            </w:rPr>
            <w:fldChar w:fldCharType="begin"/>
          </w:r>
          <w:r>
            <w:rPr>
              <w:sz w:val="32"/>
              <w:szCs w:val="32"/>
            </w:rPr>
            <w:instrText xml:space="preserve"> PAGEREF _Toc110200795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"_Toc110200796" </w:instrText>
          </w:r>
          <w:r>
            <w:fldChar w:fldCharType="separate"/>
          </w:r>
          <w:r>
            <w:rPr>
              <w:rStyle w:val="23"/>
              <w:sz w:val="32"/>
              <w:szCs w:val="32"/>
            </w:rPr>
            <w:t>二、规范医疗救助制度</w:t>
          </w:r>
          <w:r>
            <w:rPr>
              <w:sz w:val="32"/>
              <w:szCs w:val="32"/>
            </w:rPr>
            <w:tab/>
          </w:r>
          <w:r>
            <w:rPr>
              <w:sz w:val="32"/>
              <w:szCs w:val="32"/>
            </w:rPr>
            <w:fldChar w:fldCharType="begin"/>
          </w:r>
          <w:r>
            <w:rPr>
              <w:sz w:val="32"/>
              <w:szCs w:val="32"/>
            </w:rPr>
            <w:instrText xml:space="preserve"> PAGEREF _Toc110200796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"_Toc110200797" </w:instrText>
          </w:r>
          <w:r>
            <w:fldChar w:fldCharType="separate"/>
          </w:r>
          <w:r>
            <w:rPr>
              <w:rStyle w:val="23"/>
              <w:sz w:val="32"/>
              <w:szCs w:val="32"/>
            </w:rPr>
            <w:t>三、完善补充医保制度</w:t>
          </w:r>
          <w:r>
            <w:rPr>
              <w:sz w:val="32"/>
              <w:szCs w:val="32"/>
            </w:rPr>
            <w:tab/>
          </w:r>
          <w:r>
            <w:rPr>
              <w:sz w:val="32"/>
              <w:szCs w:val="32"/>
            </w:rPr>
            <w:fldChar w:fldCharType="begin"/>
          </w:r>
          <w:r>
            <w:rPr>
              <w:sz w:val="32"/>
              <w:szCs w:val="32"/>
            </w:rPr>
            <w:instrText xml:space="preserve"> PAGEREF _Toc110200797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"_Toc110200798" </w:instrText>
          </w:r>
          <w:r>
            <w:fldChar w:fldCharType="separate"/>
          </w:r>
          <w:r>
            <w:rPr>
              <w:rStyle w:val="23"/>
              <w:sz w:val="32"/>
              <w:szCs w:val="32"/>
            </w:rPr>
            <w:t>四、加强重大疫情保障</w:t>
          </w:r>
          <w:r>
            <w:rPr>
              <w:sz w:val="32"/>
              <w:szCs w:val="32"/>
            </w:rPr>
            <w:tab/>
          </w:r>
          <w:r>
            <w:rPr>
              <w:sz w:val="32"/>
              <w:szCs w:val="32"/>
            </w:rPr>
            <w:fldChar w:fldCharType="begin"/>
          </w:r>
          <w:r>
            <w:rPr>
              <w:sz w:val="32"/>
              <w:szCs w:val="32"/>
            </w:rPr>
            <w:instrText xml:space="preserve"> PAGEREF _Toc110200798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"_Toc110200799" </w:instrText>
          </w:r>
          <w:r>
            <w:fldChar w:fldCharType="separate"/>
          </w:r>
          <w:r>
            <w:rPr>
              <w:rStyle w:val="23"/>
              <w:sz w:val="32"/>
              <w:szCs w:val="32"/>
            </w:rPr>
            <w:t>五、探索长期护理保险</w:t>
          </w:r>
          <w:r>
            <w:rPr>
              <w:sz w:val="32"/>
              <w:szCs w:val="32"/>
            </w:rPr>
            <w:tab/>
          </w:r>
          <w:r>
            <w:rPr>
              <w:sz w:val="32"/>
              <w:szCs w:val="32"/>
            </w:rPr>
            <w:fldChar w:fldCharType="begin"/>
          </w:r>
          <w:r>
            <w:rPr>
              <w:sz w:val="32"/>
              <w:szCs w:val="32"/>
            </w:rPr>
            <w:instrText xml:space="preserve"> PAGEREF _Toc110200799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"_Toc110200800" </w:instrText>
          </w:r>
          <w:r>
            <w:fldChar w:fldCharType="separate"/>
          </w:r>
          <w:r>
            <w:rPr>
              <w:rStyle w:val="23"/>
              <w:sz w:val="32"/>
              <w:szCs w:val="32"/>
            </w:rPr>
            <w:t>第二节  健全严密有力的监管制度体系</w:t>
          </w:r>
          <w:r>
            <w:rPr>
              <w:sz w:val="32"/>
              <w:szCs w:val="32"/>
            </w:rPr>
            <w:tab/>
          </w:r>
          <w:r>
            <w:rPr>
              <w:sz w:val="32"/>
              <w:szCs w:val="32"/>
            </w:rPr>
            <w:fldChar w:fldCharType="begin"/>
          </w:r>
          <w:r>
            <w:rPr>
              <w:sz w:val="32"/>
              <w:szCs w:val="32"/>
            </w:rPr>
            <w:instrText xml:space="preserve"> PAGEREF _Toc110200800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"_Toc110200801" </w:instrText>
          </w:r>
          <w:r>
            <w:fldChar w:fldCharType="separate"/>
          </w:r>
          <w:r>
            <w:rPr>
              <w:rStyle w:val="23"/>
              <w:sz w:val="32"/>
              <w:szCs w:val="32"/>
            </w:rPr>
            <w:t>一、加强监管能力建设</w:t>
          </w:r>
          <w:r>
            <w:rPr>
              <w:sz w:val="32"/>
              <w:szCs w:val="32"/>
            </w:rPr>
            <w:tab/>
          </w:r>
          <w:r>
            <w:rPr>
              <w:sz w:val="32"/>
              <w:szCs w:val="32"/>
            </w:rPr>
            <w:fldChar w:fldCharType="begin"/>
          </w:r>
          <w:r>
            <w:rPr>
              <w:sz w:val="32"/>
              <w:szCs w:val="32"/>
            </w:rPr>
            <w:instrText xml:space="preserve"> PAGEREF _Toc110200801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"_Toc110200802" </w:instrText>
          </w:r>
          <w:r>
            <w:fldChar w:fldCharType="separate"/>
          </w:r>
          <w:r>
            <w:rPr>
              <w:rStyle w:val="23"/>
              <w:sz w:val="32"/>
              <w:szCs w:val="32"/>
            </w:rPr>
            <w:t>二、加快监管机制建设</w:t>
          </w:r>
          <w:r>
            <w:rPr>
              <w:sz w:val="32"/>
              <w:szCs w:val="32"/>
            </w:rPr>
            <w:tab/>
          </w:r>
          <w:r>
            <w:rPr>
              <w:sz w:val="32"/>
              <w:szCs w:val="32"/>
            </w:rPr>
            <w:fldChar w:fldCharType="begin"/>
          </w:r>
          <w:r>
            <w:rPr>
              <w:sz w:val="32"/>
              <w:szCs w:val="32"/>
            </w:rPr>
            <w:instrText xml:space="preserve"> PAGEREF _Toc110200802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"_Toc110200803" </w:instrText>
          </w:r>
          <w:r>
            <w:fldChar w:fldCharType="separate"/>
          </w:r>
          <w:r>
            <w:rPr>
              <w:rStyle w:val="23"/>
              <w:sz w:val="32"/>
              <w:szCs w:val="32"/>
            </w:rPr>
            <w:t>三、健全智能监控系统</w:t>
          </w:r>
          <w:r>
            <w:rPr>
              <w:sz w:val="32"/>
              <w:szCs w:val="32"/>
            </w:rPr>
            <w:tab/>
          </w:r>
          <w:r>
            <w:rPr>
              <w:sz w:val="32"/>
              <w:szCs w:val="32"/>
            </w:rPr>
            <w:fldChar w:fldCharType="begin"/>
          </w:r>
          <w:r>
            <w:rPr>
              <w:sz w:val="32"/>
              <w:szCs w:val="32"/>
            </w:rPr>
            <w:instrText xml:space="preserve"> PAGEREF _Toc110200803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"_Toc110200804" </w:instrText>
          </w:r>
          <w:r>
            <w:fldChar w:fldCharType="separate"/>
          </w:r>
          <w:r>
            <w:rPr>
              <w:rStyle w:val="23"/>
              <w:sz w:val="32"/>
              <w:szCs w:val="32"/>
            </w:rPr>
            <w:t>四、探索信用监管制度</w:t>
          </w:r>
          <w:r>
            <w:rPr>
              <w:sz w:val="32"/>
              <w:szCs w:val="32"/>
            </w:rPr>
            <w:tab/>
          </w:r>
          <w:r>
            <w:rPr>
              <w:sz w:val="32"/>
              <w:szCs w:val="32"/>
            </w:rPr>
            <w:fldChar w:fldCharType="begin"/>
          </w:r>
          <w:r>
            <w:rPr>
              <w:sz w:val="32"/>
              <w:szCs w:val="32"/>
            </w:rPr>
            <w:instrText xml:space="preserve"> PAGEREF _Toc110200804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"_Toc110200805" </w:instrText>
          </w:r>
          <w:r>
            <w:fldChar w:fldCharType="separate"/>
          </w:r>
          <w:r>
            <w:rPr>
              <w:rStyle w:val="23"/>
              <w:sz w:val="32"/>
              <w:szCs w:val="32"/>
            </w:rPr>
            <w:t>五、完善社会监督机制</w:t>
          </w:r>
          <w:r>
            <w:rPr>
              <w:sz w:val="32"/>
              <w:szCs w:val="32"/>
            </w:rPr>
            <w:tab/>
          </w:r>
          <w:r>
            <w:rPr>
              <w:sz w:val="32"/>
              <w:szCs w:val="32"/>
            </w:rPr>
            <w:fldChar w:fldCharType="begin"/>
          </w:r>
          <w:r>
            <w:rPr>
              <w:sz w:val="32"/>
              <w:szCs w:val="32"/>
            </w:rPr>
            <w:instrText xml:space="preserve"> PAGEREF _Toc110200805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"_Toc110200806" </w:instrText>
          </w:r>
          <w:r>
            <w:fldChar w:fldCharType="separate"/>
          </w:r>
          <w:r>
            <w:rPr>
              <w:rStyle w:val="23"/>
              <w:sz w:val="32"/>
              <w:szCs w:val="32"/>
            </w:rPr>
            <w:t>六、加强自律机制建设</w:t>
          </w:r>
          <w:r>
            <w:rPr>
              <w:sz w:val="32"/>
              <w:szCs w:val="32"/>
            </w:rPr>
            <w:tab/>
          </w:r>
          <w:r>
            <w:rPr>
              <w:sz w:val="32"/>
              <w:szCs w:val="32"/>
            </w:rPr>
            <w:fldChar w:fldCharType="begin"/>
          </w:r>
          <w:r>
            <w:rPr>
              <w:sz w:val="32"/>
              <w:szCs w:val="32"/>
            </w:rPr>
            <w:instrText xml:space="preserve"> PAGEREF _Toc110200806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"_Toc110200807" </w:instrText>
          </w:r>
          <w:r>
            <w:fldChar w:fldCharType="separate"/>
          </w:r>
          <w:r>
            <w:rPr>
              <w:rStyle w:val="23"/>
              <w:sz w:val="32"/>
              <w:szCs w:val="32"/>
            </w:rPr>
            <w:t>第三节  优化医疗保障协同治理体系</w:t>
          </w:r>
          <w:r>
            <w:rPr>
              <w:sz w:val="32"/>
              <w:szCs w:val="32"/>
            </w:rPr>
            <w:tab/>
          </w:r>
          <w:r>
            <w:rPr>
              <w:sz w:val="32"/>
              <w:szCs w:val="32"/>
            </w:rPr>
            <w:fldChar w:fldCharType="begin"/>
          </w:r>
          <w:r>
            <w:rPr>
              <w:sz w:val="32"/>
              <w:szCs w:val="32"/>
            </w:rPr>
            <w:instrText xml:space="preserve"> PAGEREF _Toc110200807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"_Toc110200808" </w:instrText>
          </w:r>
          <w:r>
            <w:fldChar w:fldCharType="separate"/>
          </w:r>
          <w:r>
            <w:rPr>
              <w:rStyle w:val="23"/>
              <w:sz w:val="32"/>
              <w:szCs w:val="32"/>
            </w:rPr>
            <w:t>一、严格执行基本医保目录</w:t>
          </w:r>
          <w:r>
            <w:rPr>
              <w:sz w:val="32"/>
              <w:szCs w:val="32"/>
            </w:rPr>
            <w:tab/>
          </w:r>
          <w:r>
            <w:rPr>
              <w:sz w:val="32"/>
              <w:szCs w:val="32"/>
            </w:rPr>
            <w:fldChar w:fldCharType="begin"/>
          </w:r>
          <w:r>
            <w:rPr>
              <w:sz w:val="32"/>
              <w:szCs w:val="32"/>
            </w:rPr>
            <w:instrText xml:space="preserve"> PAGEREF _Toc110200808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"_Toc110200809" </w:instrText>
          </w:r>
          <w:r>
            <w:fldChar w:fldCharType="separate"/>
          </w:r>
          <w:r>
            <w:rPr>
              <w:rStyle w:val="23"/>
              <w:sz w:val="32"/>
              <w:szCs w:val="32"/>
            </w:rPr>
            <w:t>二、完善多元复合支付方式</w:t>
          </w:r>
          <w:r>
            <w:rPr>
              <w:sz w:val="32"/>
              <w:szCs w:val="32"/>
            </w:rPr>
            <w:tab/>
          </w:r>
          <w:r>
            <w:rPr>
              <w:sz w:val="32"/>
              <w:szCs w:val="32"/>
            </w:rPr>
            <w:fldChar w:fldCharType="begin"/>
          </w:r>
          <w:r>
            <w:rPr>
              <w:sz w:val="32"/>
              <w:szCs w:val="32"/>
            </w:rPr>
            <w:instrText xml:space="preserve"> PAGEREF _Toc110200809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"_Toc110200810" </w:instrText>
          </w:r>
          <w:r>
            <w:fldChar w:fldCharType="separate"/>
          </w:r>
          <w:r>
            <w:rPr>
              <w:rStyle w:val="23"/>
              <w:sz w:val="32"/>
              <w:szCs w:val="32"/>
            </w:rPr>
            <w:t>三、落实集中带量采购政策</w:t>
          </w:r>
          <w:r>
            <w:rPr>
              <w:sz w:val="32"/>
              <w:szCs w:val="32"/>
            </w:rPr>
            <w:tab/>
          </w:r>
          <w:r>
            <w:rPr>
              <w:sz w:val="32"/>
              <w:szCs w:val="32"/>
            </w:rPr>
            <w:fldChar w:fldCharType="begin"/>
          </w:r>
          <w:r>
            <w:rPr>
              <w:sz w:val="32"/>
              <w:szCs w:val="32"/>
            </w:rPr>
            <w:instrText xml:space="preserve"> PAGEREF _Toc110200810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"_Toc110200811" </w:instrText>
          </w:r>
          <w:r>
            <w:fldChar w:fldCharType="separate"/>
          </w:r>
          <w:r>
            <w:rPr>
              <w:rStyle w:val="23"/>
              <w:sz w:val="32"/>
              <w:szCs w:val="32"/>
            </w:rPr>
            <w:t>四、推进医药服务价格改革</w:t>
          </w:r>
          <w:r>
            <w:rPr>
              <w:sz w:val="32"/>
              <w:szCs w:val="32"/>
            </w:rPr>
            <w:tab/>
          </w:r>
          <w:r>
            <w:rPr>
              <w:sz w:val="32"/>
              <w:szCs w:val="32"/>
            </w:rPr>
            <w:fldChar w:fldCharType="begin"/>
          </w:r>
          <w:r>
            <w:rPr>
              <w:sz w:val="32"/>
              <w:szCs w:val="32"/>
            </w:rPr>
            <w:instrText xml:space="preserve"> PAGEREF _Toc110200811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"_Toc110200812" </w:instrText>
          </w:r>
          <w:r>
            <w:fldChar w:fldCharType="separate"/>
          </w:r>
          <w:r>
            <w:rPr>
              <w:rStyle w:val="23"/>
              <w:sz w:val="32"/>
              <w:szCs w:val="32"/>
            </w:rPr>
            <w:t>五、助力医药服务质量提升</w:t>
          </w:r>
          <w:r>
            <w:rPr>
              <w:sz w:val="32"/>
              <w:szCs w:val="32"/>
            </w:rPr>
            <w:tab/>
          </w:r>
          <w:r>
            <w:rPr>
              <w:sz w:val="32"/>
              <w:szCs w:val="32"/>
            </w:rPr>
            <w:fldChar w:fldCharType="begin"/>
          </w:r>
          <w:r>
            <w:rPr>
              <w:sz w:val="32"/>
              <w:szCs w:val="32"/>
            </w:rPr>
            <w:instrText xml:space="preserve"> PAGEREF _Toc110200812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"_Toc110200813" </w:instrText>
          </w:r>
          <w:r>
            <w:fldChar w:fldCharType="separate"/>
          </w:r>
          <w:r>
            <w:rPr>
              <w:rStyle w:val="23"/>
              <w:sz w:val="32"/>
              <w:szCs w:val="32"/>
            </w:rPr>
            <w:t>第四节  筑牢医疗保障服务支撑体系</w:t>
          </w:r>
          <w:r>
            <w:rPr>
              <w:sz w:val="32"/>
              <w:szCs w:val="32"/>
            </w:rPr>
            <w:tab/>
          </w:r>
          <w:r>
            <w:rPr>
              <w:sz w:val="32"/>
              <w:szCs w:val="32"/>
            </w:rPr>
            <w:fldChar w:fldCharType="begin"/>
          </w:r>
          <w:r>
            <w:rPr>
              <w:sz w:val="32"/>
              <w:szCs w:val="32"/>
            </w:rPr>
            <w:instrText xml:space="preserve"> PAGEREF _Toc110200813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"_Toc110200814" </w:instrText>
          </w:r>
          <w:r>
            <w:fldChar w:fldCharType="separate"/>
          </w:r>
          <w:r>
            <w:rPr>
              <w:rStyle w:val="23"/>
              <w:sz w:val="32"/>
              <w:szCs w:val="32"/>
            </w:rPr>
            <w:t>一、加强经办服务网络建设</w:t>
          </w:r>
          <w:r>
            <w:rPr>
              <w:sz w:val="32"/>
              <w:szCs w:val="32"/>
            </w:rPr>
            <w:tab/>
          </w:r>
          <w:r>
            <w:rPr>
              <w:sz w:val="32"/>
              <w:szCs w:val="32"/>
            </w:rPr>
            <w:fldChar w:fldCharType="begin"/>
          </w:r>
          <w:r>
            <w:rPr>
              <w:sz w:val="32"/>
              <w:szCs w:val="32"/>
            </w:rPr>
            <w:instrText xml:space="preserve"> PAGEREF _Toc110200814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"_Toc110200815" </w:instrText>
          </w:r>
          <w:r>
            <w:fldChar w:fldCharType="separate"/>
          </w:r>
          <w:r>
            <w:rPr>
              <w:rStyle w:val="23"/>
              <w:sz w:val="32"/>
              <w:szCs w:val="32"/>
            </w:rPr>
            <w:t>二、加强医保干部队伍建设</w:t>
          </w:r>
          <w:r>
            <w:rPr>
              <w:sz w:val="32"/>
              <w:szCs w:val="32"/>
            </w:rPr>
            <w:tab/>
          </w:r>
          <w:r>
            <w:rPr>
              <w:sz w:val="32"/>
              <w:szCs w:val="32"/>
            </w:rPr>
            <w:fldChar w:fldCharType="begin"/>
          </w:r>
          <w:r>
            <w:rPr>
              <w:sz w:val="32"/>
              <w:szCs w:val="32"/>
            </w:rPr>
            <w:instrText xml:space="preserve"> PAGEREF _Toc110200815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"_Toc110200816" </w:instrText>
          </w:r>
          <w:r>
            <w:fldChar w:fldCharType="separate"/>
          </w:r>
          <w:r>
            <w:rPr>
              <w:rStyle w:val="23"/>
              <w:sz w:val="32"/>
              <w:szCs w:val="32"/>
            </w:rPr>
            <w:t>三、提高医保经办服务水平</w:t>
          </w:r>
          <w:r>
            <w:rPr>
              <w:sz w:val="32"/>
              <w:szCs w:val="32"/>
            </w:rPr>
            <w:tab/>
          </w:r>
          <w:r>
            <w:rPr>
              <w:sz w:val="32"/>
              <w:szCs w:val="32"/>
            </w:rPr>
            <w:fldChar w:fldCharType="begin"/>
          </w:r>
          <w:r>
            <w:rPr>
              <w:sz w:val="32"/>
              <w:szCs w:val="32"/>
            </w:rPr>
            <w:instrText xml:space="preserve"> PAGEREF _Toc110200816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"_Toc110200817" </w:instrText>
          </w:r>
          <w:r>
            <w:fldChar w:fldCharType="separate"/>
          </w:r>
          <w:r>
            <w:rPr>
              <w:rStyle w:val="23"/>
              <w:sz w:val="32"/>
              <w:szCs w:val="32"/>
            </w:rPr>
            <w:t>四、健全医保协议管理制度</w:t>
          </w:r>
          <w:r>
            <w:rPr>
              <w:sz w:val="32"/>
              <w:szCs w:val="32"/>
            </w:rPr>
            <w:tab/>
          </w:r>
          <w:r>
            <w:rPr>
              <w:sz w:val="32"/>
              <w:szCs w:val="32"/>
            </w:rPr>
            <w:fldChar w:fldCharType="begin"/>
          </w:r>
          <w:r>
            <w:rPr>
              <w:sz w:val="32"/>
              <w:szCs w:val="32"/>
            </w:rPr>
            <w:instrText xml:space="preserve"> PAGEREF _Toc110200817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1"/>
            <w:tabs>
              <w:tab w:val="right" w:leader="dot" w:pos="8296"/>
            </w:tabs>
            <w:spacing w:line="360" w:lineRule="auto"/>
            <w:rPr>
              <w:sz w:val="32"/>
              <w:szCs w:val="32"/>
            </w:rPr>
          </w:pPr>
          <w:r>
            <w:fldChar w:fldCharType="begin"/>
          </w:r>
          <w:r>
            <w:instrText xml:space="preserve"> HYPERLINK \l "_Toc110200818" </w:instrText>
          </w:r>
          <w:r>
            <w:fldChar w:fldCharType="separate"/>
          </w:r>
          <w:r>
            <w:rPr>
              <w:rStyle w:val="23"/>
              <w:sz w:val="32"/>
              <w:szCs w:val="32"/>
            </w:rPr>
            <w:t>五、加快医保信息化建设</w:t>
          </w:r>
          <w:r>
            <w:rPr>
              <w:sz w:val="32"/>
              <w:szCs w:val="32"/>
            </w:rPr>
            <w:tab/>
          </w:r>
          <w:r>
            <w:rPr>
              <w:sz w:val="32"/>
              <w:szCs w:val="32"/>
            </w:rPr>
            <w:fldChar w:fldCharType="begin"/>
          </w:r>
          <w:r>
            <w:rPr>
              <w:sz w:val="32"/>
              <w:szCs w:val="32"/>
            </w:rPr>
            <w:instrText xml:space="preserve"> PAGEREF _Toc110200818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5"/>
            <w:tabs>
              <w:tab w:val="right" w:leader="dot" w:pos="8296"/>
            </w:tabs>
            <w:spacing w:line="360" w:lineRule="auto"/>
            <w:rPr>
              <w:b/>
              <w:sz w:val="32"/>
              <w:szCs w:val="32"/>
            </w:rPr>
          </w:pPr>
          <w:r>
            <w:fldChar w:fldCharType="begin"/>
          </w:r>
          <w:r>
            <w:instrText xml:space="preserve"> HYPERLINK \l "_Toc110200819" </w:instrText>
          </w:r>
          <w:r>
            <w:fldChar w:fldCharType="separate"/>
          </w:r>
          <w:r>
            <w:rPr>
              <w:rStyle w:val="23"/>
              <w:b/>
              <w:sz w:val="32"/>
              <w:szCs w:val="32"/>
            </w:rPr>
            <w:t>第四章  保障措施</w:t>
          </w:r>
          <w:r>
            <w:rPr>
              <w:b/>
              <w:sz w:val="32"/>
              <w:szCs w:val="32"/>
            </w:rPr>
            <w:tab/>
          </w:r>
          <w:r>
            <w:rPr>
              <w:b/>
              <w:sz w:val="32"/>
              <w:szCs w:val="32"/>
            </w:rPr>
            <w:fldChar w:fldCharType="begin"/>
          </w:r>
          <w:r>
            <w:rPr>
              <w:b/>
              <w:sz w:val="32"/>
              <w:szCs w:val="32"/>
            </w:rPr>
            <w:instrText xml:space="preserve"> PAGEREF _Toc110200819 \h </w:instrText>
          </w:r>
          <w:r>
            <w:rPr>
              <w:b/>
              <w:sz w:val="32"/>
              <w:szCs w:val="32"/>
            </w:rPr>
            <w:fldChar w:fldCharType="separate"/>
          </w:r>
          <w:r>
            <w:rPr>
              <w:b/>
              <w:sz w:val="32"/>
              <w:szCs w:val="32"/>
            </w:rPr>
            <w:t>27</w:t>
          </w:r>
          <w:r>
            <w:rPr>
              <w:b/>
              <w:sz w:val="32"/>
              <w:szCs w:val="32"/>
            </w:rPr>
            <w:fldChar w:fldCharType="end"/>
          </w:r>
          <w:r>
            <w:rPr>
              <w:b/>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"_Toc110200820" </w:instrText>
          </w:r>
          <w:r>
            <w:fldChar w:fldCharType="separate"/>
          </w:r>
          <w:r>
            <w:rPr>
              <w:rStyle w:val="23"/>
              <w:sz w:val="32"/>
              <w:szCs w:val="32"/>
              <w:shd w:val="clear" w:color="auto" w:fill="FFFFFF"/>
            </w:rPr>
            <w:t>第一节  加强组织领导</w:t>
          </w:r>
          <w:r>
            <w:rPr>
              <w:sz w:val="32"/>
              <w:szCs w:val="32"/>
            </w:rPr>
            <w:tab/>
          </w:r>
          <w:r>
            <w:rPr>
              <w:sz w:val="32"/>
              <w:szCs w:val="32"/>
            </w:rPr>
            <w:fldChar w:fldCharType="begin"/>
          </w:r>
          <w:r>
            <w:rPr>
              <w:sz w:val="32"/>
              <w:szCs w:val="32"/>
            </w:rPr>
            <w:instrText xml:space="preserve"> PAGEREF _Toc110200820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"_Toc110200821" </w:instrText>
          </w:r>
          <w:r>
            <w:fldChar w:fldCharType="separate"/>
          </w:r>
          <w:r>
            <w:rPr>
              <w:rStyle w:val="23"/>
              <w:sz w:val="32"/>
              <w:szCs w:val="32"/>
              <w:shd w:val="clear" w:color="auto" w:fill="FFFFFF"/>
            </w:rPr>
            <w:t>第二节  落实财政保障</w:t>
          </w:r>
          <w:r>
            <w:rPr>
              <w:sz w:val="32"/>
              <w:szCs w:val="32"/>
            </w:rPr>
            <w:tab/>
          </w:r>
          <w:r>
            <w:rPr>
              <w:sz w:val="32"/>
              <w:szCs w:val="32"/>
            </w:rPr>
            <w:fldChar w:fldCharType="begin"/>
          </w:r>
          <w:r>
            <w:rPr>
              <w:sz w:val="32"/>
              <w:szCs w:val="32"/>
            </w:rPr>
            <w:instrText xml:space="preserve"> PAGEREF _Toc110200821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"_Toc110200822" </w:instrText>
          </w:r>
          <w:r>
            <w:fldChar w:fldCharType="separate"/>
          </w:r>
          <w:r>
            <w:rPr>
              <w:rStyle w:val="23"/>
              <w:sz w:val="32"/>
              <w:szCs w:val="32"/>
              <w:shd w:val="clear" w:color="auto" w:fill="FFFFFF"/>
            </w:rPr>
            <w:t>第三节  做好监测评估</w:t>
          </w:r>
          <w:r>
            <w:rPr>
              <w:sz w:val="32"/>
              <w:szCs w:val="32"/>
            </w:rPr>
            <w:tab/>
          </w:r>
          <w:r>
            <w:rPr>
              <w:sz w:val="32"/>
              <w:szCs w:val="32"/>
            </w:rPr>
            <w:fldChar w:fldCharType="begin"/>
          </w:r>
          <w:r>
            <w:rPr>
              <w:sz w:val="32"/>
              <w:szCs w:val="32"/>
            </w:rPr>
            <w:instrText xml:space="preserve"> PAGEREF _Toc110200822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6"/>
            <w:tabs>
              <w:tab w:val="right" w:leader="dot" w:pos="8296"/>
            </w:tabs>
            <w:spacing w:line="360" w:lineRule="auto"/>
            <w:rPr>
              <w:sz w:val="32"/>
              <w:szCs w:val="32"/>
            </w:rPr>
          </w:pPr>
          <w:r>
            <w:fldChar w:fldCharType="begin"/>
          </w:r>
          <w:r>
            <w:instrText xml:space="preserve"> HYPERLINK \l "_Toc110200823" </w:instrText>
          </w:r>
          <w:r>
            <w:fldChar w:fldCharType="separate"/>
          </w:r>
          <w:r>
            <w:rPr>
              <w:rStyle w:val="23"/>
              <w:sz w:val="32"/>
              <w:szCs w:val="32"/>
              <w:shd w:val="clear" w:color="auto" w:fill="FFFFFF"/>
            </w:rPr>
            <w:t>第四节  加强宣传引导</w:t>
          </w:r>
          <w:r>
            <w:rPr>
              <w:sz w:val="32"/>
              <w:szCs w:val="32"/>
            </w:rPr>
            <w:tab/>
          </w:r>
          <w:r>
            <w:rPr>
              <w:sz w:val="32"/>
              <w:szCs w:val="32"/>
            </w:rPr>
            <w:fldChar w:fldCharType="begin"/>
          </w:r>
          <w:r>
            <w:rPr>
              <w:sz w:val="32"/>
              <w:szCs w:val="32"/>
            </w:rPr>
            <w:instrText xml:space="preserve"> PAGEREF _Toc110200823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5"/>
            <w:tabs>
              <w:tab w:val="right" w:leader="dot" w:pos="8296"/>
            </w:tabs>
            <w:spacing w:line="360" w:lineRule="auto"/>
            <w:rPr>
              <w:b/>
              <w:sz w:val="32"/>
              <w:szCs w:val="32"/>
            </w:rPr>
          </w:pPr>
          <w:r>
            <w:fldChar w:fldCharType="begin"/>
          </w:r>
          <w:r>
            <w:instrText xml:space="preserve"> HYPERLINK \l "_Toc110200824" </w:instrText>
          </w:r>
          <w:r>
            <w:fldChar w:fldCharType="separate"/>
          </w:r>
          <w:r>
            <w:rPr>
              <w:rStyle w:val="23"/>
              <w:b/>
              <w:sz w:val="32"/>
              <w:szCs w:val="32"/>
            </w:rPr>
            <w:t>名词解释</w:t>
          </w:r>
          <w:r>
            <w:rPr>
              <w:b/>
              <w:sz w:val="32"/>
              <w:szCs w:val="32"/>
            </w:rPr>
            <w:tab/>
          </w:r>
          <w:r>
            <w:rPr>
              <w:b/>
              <w:sz w:val="32"/>
              <w:szCs w:val="32"/>
            </w:rPr>
            <w:fldChar w:fldCharType="begin"/>
          </w:r>
          <w:r>
            <w:rPr>
              <w:b/>
              <w:sz w:val="32"/>
              <w:szCs w:val="32"/>
            </w:rPr>
            <w:instrText xml:space="preserve"> PAGEREF _Toc110200824 \h </w:instrText>
          </w:r>
          <w:r>
            <w:rPr>
              <w:b/>
              <w:sz w:val="32"/>
              <w:szCs w:val="32"/>
            </w:rPr>
            <w:fldChar w:fldCharType="separate"/>
          </w:r>
          <w:r>
            <w:rPr>
              <w:b/>
              <w:sz w:val="32"/>
              <w:szCs w:val="32"/>
            </w:rPr>
            <w:t>29</w:t>
          </w:r>
          <w:r>
            <w:rPr>
              <w:b/>
              <w:sz w:val="32"/>
              <w:szCs w:val="32"/>
            </w:rPr>
            <w:fldChar w:fldCharType="end"/>
          </w:r>
          <w:r>
            <w:rPr>
              <w:b/>
              <w:sz w:val="32"/>
              <w:szCs w:val="32"/>
            </w:rPr>
            <w:fldChar w:fldCharType="end"/>
          </w:r>
        </w:p>
        <w:p>
          <w:pPr>
            <w:spacing w:line="360" w:lineRule="auto"/>
            <w:rPr>
              <w:rFonts w:asciiTheme="minorEastAsia" w:hAnsiTheme="minorEastAsia"/>
              <w:sz w:val="28"/>
              <w:szCs w:val="28"/>
            </w:rPr>
          </w:pPr>
          <w:r>
            <w:rPr>
              <w:rFonts w:cs="Times New Roman" w:asciiTheme="minorEastAsia" w:hAnsiTheme="minorEastAsia"/>
              <w:b/>
              <w:bCs/>
              <w:sz w:val="32"/>
              <w:szCs w:val="32"/>
              <w:lang w:val="zh-CN"/>
            </w:rPr>
            <w:fldChar w:fldCharType="end"/>
          </w:r>
        </w:p>
      </w:sdtContent>
    </w:sdt>
    <w:p>
      <w:pPr>
        <w:widowControl/>
        <w:jc w:val="center"/>
        <w:rPr>
          <w:b/>
          <w:sz w:val="32"/>
          <w:szCs w:val="32"/>
        </w:rPr>
        <w:sectPr>
          <w:pgSz w:w="11906" w:h="16838"/>
          <w:pgMar w:top="1440" w:right="1800" w:bottom="1440" w:left="1800" w:header="851" w:footer="992" w:gutter="0"/>
          <w:pgNumType w:start="1"/>
          <w:cols w:space="425" w:num="1"/>
          <w:docGrid w:type="lines" w:linePitch="312" w:charSpace="0"/>
        </w:sectPr>
      </w:pPr>
    </w:p>
    <w:p>
      <w:pPr>
        <w:widowControl/>
        <w:ind w:firstLine="640" w:firstLineChars="200"/>
        <w:rPr>
          <w:sz w:val="32"/>
          <w:szCs w:val="32"/>
        </w:rPr>
      </w:pPr>
      <w:r>
        <w:rPr>
          <w:rFonts w:hint="eastAsia"/>
          <w:sz w:val="32"/>
          <w:szCs w:val="32"/>
        </w:rPr>
        <w:t>为进一步推动我市医疗保障事业高质量发展，着力保障和改善民生，助力健康大冶和美丽大冶建设，促进全市共同富裕，依据《大冶市国民经济和社会发展第十四个五年（2021—2025年）规划和二〇三五年远景目标纲要》（简称大冶市“十四五”规划），结合国家《“十四五”全民医疗保障规划》、《湖北省医疗保障事业发展“十四五”规划》、《黄石市医疗保障事业发展“十四五”规划》和本市医疗保障事业发展实际，编制本规划。</w:t>
      </w:r>
    </w:p>
    <w:p>
      <w:pPr>
        <w:pStyle w:val="3"/>
        <w:jc w:val="center"/>
      </w:pPr>
      <w:bookmarkStart w:id="0" w:name="_Toc110200775"/>
      <w:r>
        <w:rPr>
          <w:rFonts w:hint="eastAsia"/>
        </w:rPr>
        <w:t xml:space="preserve">第一章 </w:t>
      </w:r>
      <w:r>
        <w:t xml:space="preserve"> </w:t>
      </w:r>
      <w:r>
        <w:rPr>
          <w:rFonts w:hint="eastAsia"/>
        </w:rPr>
        <w:t>规划基础</w:t>
      </w:r>
      <w:bookmarkEnd w:id="0"/>
    </w:p>
    <w:p>
      <w:pPr>
        <w:widowControl/>
        <w:ind w:firstLine="640" w:firstLineChars="200"/>
        <w:rPr>
          <w:sz w:val="32"/>
          <w:szCs w:val="32"/>
        </w:rPr>
      </w:pPr>
      <w:r>
        <w:rPr>
          <w:rFonts w:hint="eastAsia"/>
          <w:sz w:val="32"/>
          <w:szCs w:val="32"/>
        </w:rPr>
        <w:t>“十三五”期间，在大冶市委市政府的坚强领导下和上级业务部门的精心指导下，我市医疗保障事业改革发展始终坚持以人民健康为中心，理顺体制，健全制度，完善标准，规范程序，优化服务，主动作为，锐意改革，全面推动我市医疗保障事业向纵深发展。</w:t>
      </w:r>
    </w:p>
    <w:p>
      <w:pPr>
        <w:pStyle w:val="4"/>
        <w:jc w:val="center"/>
      </w:pPr>
      <w:bookmarkStart w:id="1" w:name="_Toc110200776"/>
      <w:r>
        <w:rPr>
          <w:rFonts w:hint="eastAsia"/>
        </w:rPr>
        <w:t xml:space="preserve">第一节 </w:t>
      </w:r>
      <w:r>
        <w:t xml:space="preserve"> </w:t>
      </w:r>
      <w:r>
        <w:rPr>
          <w:rFonts w:hint="eastAsia"/>
        </w:rPr>
        <w:t>发展成效</w:t>
      </w:r>
      <w:bookmarkEnd w:id="1"/>
    </w:p>
    <w:p>
      <w:pPr>
        <w:widowControl/>
        <w:ind w:firstLine="643" w:firstLineChars="200"/>
        <w:rPr>
          <w:sz w:val="32"/>
          <w:szCs w:val="32"/>
        </w:rPr>
      </w:pPr>
      <w:r>
        <w:rPr>
          <w:rFonts w:hint="eastAsia"/>
          <w:b/>
          <w:sz w:val="32"/>
          <w:szCs w:val="32"/>
        </w:rPr>
        <w:t>——党建工作全面推进。</w:t>
      </w:r>
      <w:r>
        <w:rPr>
          <w:rFonts w:hint="eastAsia"/>
          <w:sz w:val="32"/>
          <w:szCs w:val="32"/>
        </w:rPr>
        <w:t>市医保部门始终以党的政治建设为统领，把党的政治建设作为党的根本性建设，做到旗帜鲜明讲政治。部署党建工作、落实“一岗双责”，深刻认识医疗保障工作的鲜明政治属性，把政治立局、政治立身放在首位，认真对照党中央、国务院、省委、省政府和市委、市政府对医疗保障工作的决策部署，把履行全面从严治党责任同保障与改善民生工作紧密结合，切实把党的政治建设融入医疗保障工作全过程，确保党的理论和路线方针政策在医疗保障领域中贯彻到底、落实到位。</w:t>
      </w:r>
    </w:p>
    <w:p>
      <w:pPr>
        <w:widowControl/>
        <w:ind w:firstLine="643" w:firstLineChars="200"/>
        <w:rPr>
          <w:sz w:val="32"/>
          <w:szCs w:val="32"/>
        </w:rPr>
      </w:pPr>
      <w:r>
        <w:rPr>
          <w:rFonts w:hint="eastAsia"/>
          <w:b/>
          <w:sz w:val="32"/>
          <w:szCs w:val="32"/>
        </w:rPr>
        <w:t>——制度改革持续深化。</w:t>
      </w:r>
      <w:r>
        <w:rPr>
          <w:rFonts w:hint="eastAsia"/>
          <w:sz w:val="32"/>
          <w:szCs w:val="32"/>
        </w:rPr>
        <w:t>整合市人社局、市卫健局、市发改局和市民政局四个部门的涉医管理职能，组建市医疗保障局，管理体制更加顺畅。职工医保和生育保险合并实施，全市统一的城乡居民基本医疗保险制度和大病保险制度全面建立。以基本医疗保险为主体，补充医疗保险、医疗救助梯度发展的多层次医疗保障体系初步建成。出台《大冶市城乡居民基本医疗保险支付方式改革实施方案（试行）》《大冶市基本医疗保险门诊特殊慢性病评审鉴定工作方案》等政策，以按病种付费为主的多元复合式支付机制和门诊特殊慢性病用药保障机制初步建立。</w:t>
      </w:r>
    </w:p>
    <w:p>
      <w:pPr>
        <w:widowControl/>
        <w:ind w:firstLine="643" w:firstLineChars="200"/>
        <w:rPr>
          <w:sz w:val="32"/>
          <w:szCs w:val="32"/>
        </w:rPr>
      </w:pPr>
      <w:r>
        <w:rPr>
          <w:rFonts w:hint="eastAsia"/>
          <w:b/>
          <w:sz w:val="32"/>
          <w:szCs w:val="32"/>
        </w:rPr>
        <w:t>——参保覆盖不断优化。</w:t>
      </w:r>
      <w:r>
        <w:rPr>
          <w:rFonts w:hint="eastAsia"/>
          <w:sz w:val="32"/>
          <w:szCs w:val="32"/>
        </w:rPr>
        <w:t>截止到</w:t>
      </w:r>
      <w:r>
        <w:rPr>
          <w:sz w:val="32"/>
          <w:szCs w:val="32"/>
        </w:rPr>
        <w:t>2020</w:t>
      </w:r>
      <w:r>
        <w:rPr>
          <w:rFonts w:hint="eastAsia"/>
          <w:sz w:val="32"/>
          <w:szCs w:val="32"/>
        </w:rPr>
        <w:t>年底，全市基本医疗保险参保人数</w:t>
      </w:r>
      <w:r>
        <w:rPr>
          <w:sz w:val="32"/>
          <w:szCs w:val="32"/>
        </w:rPr>
        <w:t>83.38</w:t>
      </w:r>
      <w:r>
        <w:rPr>
          <w:rFonts w:hint="eastAsia"/>
          <w:sz w:val="32"/>
          <w:szCs w:val="32"/>
        </w:rPr>
        <w:t>万人，其中，职工医保参保人数为8</w:t>
      </w:r>
      <w:r>
        <w:rPr>
          <w:sz w:val="32"/>
          <w:szCs w:val="32"/>
        </w:rPr>
        <w:t>.84</w:t>
      </w:r>
      <w:r>
        <w:rPr>
          <w:rFonts w:hint="eastAsia"/>
          <w:sz w:val="32"/>
          <w:szCs w:val="32"/>
        </w:rPr>
        <w:t>万人，所占比例为1</w:t>
      </w:r>
      <w:r>
        <w:rPr>
          <w:sz w:val="32"/>
          <w:szCs w:val="32"/>
        </w:rPr>
        <w:t>0.6</w:t>
      </w:r>
      <w:r>
        <w:rPr>
          <w:rFonts w:hint="eastAsia"/>
          <w:sz w:val="32"/>
          <w:szCs w:val="32"/>
        </w:rPr>
        <w:t>%；居民医保参保人数为7</w:t>
      </w:r>
      <w:r>
        <w:rPr>
          <w:sz w:val="32"/>
          <w:szCs w:val="32"/>
        </w:rPr>
        <w:t>4.54</w:t>
      </w:r>
      <w:r>
        <w:rPr>
          <w:rFonts w:hint="eastAsia"/>
          <w:sz w:val="32"/>
          <w:szCs w:val="32"/>
        </w:rPr>
        <w:t>万人，所占比例为8</w:t>
      </w:r>
      <w:r>
        <w:rPr>
          <w:sz w:val="32"/>
          <w:szCs w:val="32"/>
        </w:rPr>
        <w:t>9.4</w:t>
      </w:r>
      <w:r>
        <w:rPr>
          <w:rFonts w:hint="eastAsia"/>
          <w:sz w:val="32"/>
          <w:szCs w:val="32"/>
        </w:rPr>
        <w:t>%，总体参保率稳定在9</w:t>
      </w:r>
      <w:r>
        <w:rPr>
          <w:sz w:val="32"/>
          <w:szCs w:val="32"/>
        </w:rPr>
        <w:t>5</w:t>
      </w:r>
      <w:r>
        <w:rPr>
          <w:rFonts w:hint="eastAsia"/>
          <w:sz w:val="32"/>
          <w:szCs w:val="32"/>
        </w:rPr>
        <w:t>%以上。职工医保参保人数逐年增加，城乡居民医保参保人数逐渐减少，参保结构不断优化。资助全市18089名困难群众参加城乡居民医保，医疗救助对象实现“应保尽保”。</w:t>
      </w:r>
    </w:p>
    <w:p>
      <w:pPr>
        <w:spacing w:line="560" w:lineRule="exact"/>
        <w:ind w:firstLine="643" w:firstLineChars="200"/>
        <w:rPr>
          <w:sz w:val="32"/>
          <w:szCs w:val="32"/>
        </w:rPr>
      </w:pPr>
      <w:r>
        <w:rPr>
          <w:rFonts w:hint="eastAsia"/>
          <w:b/>
          <w:sz w:val="32"/>
          <w:szCs w:val="32"/>
        </w:rPr>
        <w:t>——医疗负担明显减轻。</w:t>
      </w:r>
      <w:r>
        <w:rPr>
          <w:rFonts w:hint="eastAsia"/>
          <w:sz w:val="32"/>
          <w:szCs w:val="32"/>
        </w:rPr>
        <w:t>截止到2</w:t>
      </w:r>
      <w:r>
        <w:rPr>
          <w:sz w:val="32"/>
          <w:szCs w:val="32"/>
        </w:rPr>
        <w:t>020</w:t>
      </w:r>
      <w:r>
        <w:rPr>
          <w:rFonts w:hint="eastAsia"/>
          <w:sz w:val="32"/>
          <w:szCs w:val="32"/>
        </w:rPr>
        <w:t>年底，职工医保政策范围内住院费用医保基金支付比例为83.3%，居民医保政策范围内住院费用医保基金支付比例为67.7%。居民医保门诊慢性病增加到3</w:t>
      </w:r>
      <w:r>
        <w:rPr>
          <w:sz w:val="32"/>
          <w:szCs w:val="32"/>
        </w:rPr>
        <w:t>5</w:t>
      </w:r>
      <w:r>
        <w:rPr>
          <w:rFonts w:hint="eastAsia"/>
          <w:sz w:val="32"/>
          <w:szCs w:val="32"/>
        </w:rPr>
        <w:t>种，职工医保门诊慢性病增加到16种。全面落实贫困人口“985”兜底保障政策，实现困难群众政策范围内医疗费用控制在5000元以内，建档立卡贫困人口住院合规医疗费用报销比例达91.91%，门诊合规医疗费用报销比例达9</w:t>
      </w:r>
      <w:r>
        <w:rPr>
          <w:sz w:val="32"/>
          <w:szCs w:val="32"/>
        </w:rPr>
        <w:t>5.3</w:t>
      </w:r>
      <w:r>
        <w:rPr>
          <w:rFonts w:hint="eastAsia"/>
          <w:sz w:val="32"/>
          <w:szCs w:val="32"/>
        </w:rPr>
        <w:t>%，群众医疗负担明显减轻。</w:t>
      </w:r>
    </w:p>
    <w:p>
      <w:pPr>
        <w:widowControl/>
        <w:ind w:firstLine="643" w:firstLineChars="200"/>
        <w:rPr>
          <w:sz w:val="32"/>
          <w:szCs w:val="32"/>
        </w:rPr>
      </w:pPr>
      <w:r>
        <w:rPr>
          <w:rFonts w:hint="eastAsia"/>
          <w:b/>
          <w:sz w:val="32"/>
          <w:szCs w:val="32"/>
        </w:rPr>
        <w:t>——医保抗疫成效显著。</w:t>
      </w:r>
      <w:r>
        <w:rPr>
          <w:rFonts w:hint="eastAsia"/>
          <w:sz w:val="32"/>
          <w:szCs w:val="32"/>
        </w:rPr>
        <w:t>面对突发疫情，市医疗保障局及时调整医保政策，统筹推进疫情防控和医疗保障工作。积极落实“两个确保”政策，及时向定点医疗机构预付费用1</w:t>
      </w:r>
      <w:r>
        <w:rPr>
          <w:sz w:val="32"/>
          <w:szCs w:val="32"/>
        </w:rPr>
        <w:t>.62</w:t>
      </w:r>
      <w:r>
        <w:rPr>
          <w:rFonts w:hint="eastAsia"/>
          <w:sz w:val="32"/>
          <w:szCs w:val="32"/>
        </w:rPr>
        <w:t>亿元（职工医保4</w:t>
      </w:r>
      <w:r>
        <w:rPr>
          <w:sz w:val="32"/>
          <w:szCs w:val="32"/>
        </w:rPr>
        <w:t>379.97</w:t>
      </w:r>
      <w:r>
        <w:rPr>
          <w:rFonts w:hint="eastAsia"/>
          <w:sz w:val="32"/>
          <w:szCs w:val="32"/>
        </w:rPr>
        <w:t>万元，居民医保1</w:t>
      </w:r>
      <w:r>
        <w:rPr>
          <w:sz w:val="32"/>
          <w:szCs w:val="32"/>
        </w:rPr>
        <w:t>1810.74</w:t>
      </w:r>
      <w:r>
        <w:rPr>
          <w:rFonts w:hint="eastAsia"/>
          <w:sz w:val="32"/>
          <w:szCs w:val="32"/>
        </w:rPr>
        <w:t>万元，药品带量采购3</w:t>
      </w:r>
      <w:r>
        <w:rPr>
          <w:sz w:val="32"/>
          <w:szCs w:val="32"/>
        </w:rPr>
        <w:t>1.74</w:t>
      </w:r>
      <w:r>
        <w:rPr>
          <w:rFonts w:hint="eastAsia"/>
          <w:sz w:val="32"/>
          <w:szCs w:val="32"/>
        </w:rPr>
        <w:t>万元），累计结算确诊、疑似新冠肺炎患者和留观发热患者9</w:t>
      </w:r>
      <w:r>
        <w:rPr>
          <w:sz w:val="32"/>
          <w:szCs w:val="32"/>
        </w:rPr>
        <w:t>08</w:t>
      </w:r>
      <w:r>
        <w:rPr>
          <w:rFonts w:hint="eastAsia"/>
          <w:sz w:val="32"/>
          <w:szCs w:val="32"/>
        </w:rPr>
        <w:t>人次，发生医疗费用6</w:t>
      </w:r>
      <w:r>
        <w:rPr>
          <w:sz w:val="32"/>
          <w:szCs w:val="32"/>
        </w:rPr>
        <w:t>83.38</w:t>
      </w:r>
      <w:r>
        <w:rPr>
          <w:rFonts w:hint="eastAsia"/>
          <w:sz w:val="32"/>
          <w:szCs w:val="32"/>
        </w:rPr>
        <w:t>万元，其中，医保基金支付4</w:t>
      </w:r>
      <w:r>
        <w:rPr>
          <w:sz w:val="32"/>
          <w:szCs w:val="32"/>
        </w:rPr>
        <w:t>38.43</w:t>
      </w:r>
      <w:r>
        <w:rPr>
          <w:rFonts w:hint="eastAsia"/>
          <w:sz w:val="32"/>
          <w:szCs w:val="32"/>
        </w:rPr>
        <w:t>万元。通过减征缓缴措施，纾解企业因疫情产生的困难，减征职工医疗保险费2</w:t>
      </w:r>
      <w:r>
        <w:rPr>
          <w:sz w:val="32"/>
          <w:szCs w:val="32"/>
        </w:rPr>
        <w:t>510</w:t>
      </w:r>
      <w:r>
        <w:rPr>
          <w:rFonts w:hint="eastAsia"/>
          <w:sz w:val="32"/>
          <w:szCs w:val="32"/>
        </w:rPr>
        <w:t>万元，缓征职工医疗保险费1</w:t>
      </w:r>
      <w:r>
        <w:rPr>
          <w:sz w:val="32"/>
          <w:szCs w:val="32"/>
        </w:rPr>
        <w:t>.22</w:t>
      </w:r>
      <w:r>
        <w:rPr>
          <w:rFonts w:hint="eastAsia"/>
          <w:sz w:val="32"/>
          <w:szCs w:val="32"/>
        </w:rPr>
        <w:t>亿元，有效减轻企业负担。</w:t>
      </w:r>
    </w:p>
    <w:p>
      <w:pPr>
        <w:widowControl/>
        <w:ind w:firstLine="643" w:firstLineChars="200"/>
        <w:rPr>
          <w:sz w:val="32"/>
          <w:szCs w:val="32"/>
        </w:rPr>
      </w:pPr>
      <w:r>
        <w:rPr>
          <w:rFonts w:hint="eastAsia"/>
          <w:b/>
          <w:sz w:val="32"/>
          <w:szCs w:val="32"/>
        </w:rPr>
        <w:t>——基金监管卓有成效。</w:t>
      </w:r>
      <w:r>
        <w:rPr>
          <w:rFonts w:hint="eastAsia"/>
          <w:sz w:val="32"/>
          <w:szCs w:val="32"/>
        </w:rPr>
        <w:t>“十三五”期间市医疗保障局始终把维护基金安全作为首要任务，以零容忍的态度严厉打击欺诈骗保行为。调整监管职权，将职工医保的监督检查、参保登记、转移接续手续办理三项职权下放给经济发达镇，市医疗保障局加强对经济发达镇赋权事项的事中事后监管。坚持自查和现场检查相结合，聚焦重点监管对象和重点违法违规行为，对全市650余家定点医药机构开展“全覆盖、无死角”的系列专项检查和治理。</w:t>
      </w:r>
    </w:p>
    <w:p>
      <w:pPr>
        <w:widowControl/>
        <w:ind w:firstLine="643" w:firstLineChars="200"/>
        <w:rPr>
          <w:sz w:val="32"/>
          <w:szCs w:val="32"/>
        </w:rPr>
      </w:pPr>
      <w:r>
        <w:rPr>
          <w:rFonts w:hint="eastAsia"/>
          <w:b/>
          <w:sz w:val="32"/>
          <w:szCs w:val="32"/>
        </w:rPr>
        <w:t>——经办服务提质增效。</w:t>
      </w:r>
      <w:r>
        <w:rPr>
          <w:rFonts w:hint="eastAsia"/>
          <w:sz w:val="32"/>
          <w:szCs w:val="32"/>
        </w:rPr>
        <w:t>以打造更优营商环境为契机，优化窗口服务，简化办事流程，提升经办服务效率。服务大厅增设一个慢性病窗口和三个综合窗口，八个业务窗口实现“一窗联办”。简化备案手续和报销流程，实现“一站式”结算。实行经办服务事项清单化管理，借鉴先进城市经验，调整经办服务事项流程和承诺时限，大大缩短经办服务时间，整体服务时限压缩近6</w:t>
      </w:r>
      <w:r>
        <w:rPr>
          <w:sz w:val="32"/>
          <w:szCs w:val="32"/>
        </w:rPr>
        <w:t>0</w:t>
      </w:r>
      <w:r>
        <w:rPr>
          <w:rFonts w:hint="eastAsia"/>
          <w:sz w:val="32"/>
          <w:szCs w:val="32"/>
        </w:rPr>
        <w:t>%，最长压缩时限3</w:t>
      </w:r>
      <w:r>
        <w:rPr>
          <w:sz w:val="32"/>
          <w:szCs w:val="32"/>
        </w:rPr>
        <w:t>0</w:t>
      </w:r>
      <w:r>
        <w:rPr>
          <w:rFonts w:hint="eastAsia"/>
          <w:sz w:val="32"/>
          <w:szCs w:val="32"/>
        </w:rPr>
        <w:t>个工作日。主动靠前服务，提高服务质量，中心窗口实行“股长带班常态化”制度，为企业提供上门服务，开通参保信息网上核对服务。关注重点人群，优化慢性病经办服务。</w:t>
      </w:r>
    </w:p>
    <w:p>
      <w:pPr>
        <w:ind w:firstLine="641"/>
        <w:rPr>
          <w:rFonts w:ascii="仿宋" w:hAnsi="仿宋" w:eastAsia="仿宋" w:cs="仿宋"/>
          <w:sz w:val="32"/>
          <w:szCs w:val="32"/>
        </w:rPr>
      </w:pPr>
      <w:r>
        <w:rPr>
          <w:rFonts w:hint="eastAsia"/>
          <w:b/>
          <w:sz w:val="32"/>
          <w:szCs w:val="32"/>
        </w:rPr>
        <w:t>——支付方式改革持续深化。</w:t>
      </w:r>
      <w:r>
        <w:rPr>
          <w:rFonts w:hint="eastAsia"/>
          <w:sz w:val="32"/>
          <w:szCs w:val="32"/>
        </w:rPr>
        <w:t>积极探索县域内医共体住院医疗费用总额预付制度，将医保基金整体打包给市总医院牵头管理，按照“总额预付、过程管理、结余留用、合理超支分担”的原则，实行“市总医院（医共体）+N家医院”总额预付模式。医保基金预留门诊统筹、门诊慢性病、大病保险投保、意外伤害保险投保等预算资金外，其余基金作为住院总额付费资金，分季度拨付给市总医院，实现医保局与市总医院共同管理。</w:t>
      </w:r>
    </w:p>
    <w:p>
      <w:pPr>
        <w:pStyle w:val="4"/>
        <w:jc w:val="center"/>
      </w:pPr>
      <w:bookmarkStart w:id="2" w:name="_Toc110200777"/>
      <w:r>
        <w:rPr>
          <w:rFonts w:hint="eastAsia"/>
        </w:rPr>
        <w:t xml:space="preserve">第二节 </w:t>
      </w:r>
      <w:r>
        <w:t xml:space="preserve"> </w:t>
      </w:r>
      <w:r>
        <w:rPr>
          <w:rFonts w:hint="eastAsia"/>
        </w:rPr>
        <w:t>面临机遇</w:t>
      </w:r>
      <w:bookmarkEnd w:id="2"/>
    </w:p>
    <w:p>
      <w:pPr>
        <w:widowControl/>
        <w:ind w:firstLine="640" w:firstLineChars="200"/>
        <w:rPr>
          <w:sz w:val="32"/>
          <w:szCs w:val="32"/>
        </w:rPr>
      </w:pPr>
      <w:r>
        <w:rPr>
          <w:rFonts w:hint="eastAsia"/>
          <w:sz w:val="32"/>
          <w:szCs w:val="32"/>
        </w:rPr>
        <w:t>“十三五”期间，大冶市医疗保障事业快速发展，全市人民群众的医疗保障获得感不断增强，为推动“十四五”时期全市医疗保障高质量发展打下坚实基础。</w:t>
      </w:r>
    </w:p>
    <w:p>
      <w:pPr>
        <w:widowControl/>
        <w:ind w:firstLine="643" w:firstLineChars="200"/>
        <w:rPr>
          <w:sz w:val="32"/>
          <w:szCs w:val="32"/>
        </w:rPr>
      </w:pPr>
      <w:r>
        <w:rPr>
          <w:rFonts w:hint="eastAsia"/>
          <w:b/>
          <w:sz w:val="32"/>
          <w:szCs w:val="32"/>
        </w:rPr>
        <w:t>——党和政府高度重视。</w:t>
      </w:r>
      <w:r>
        <w:rPr>
          <w:rFonts w:hint="eastAsia"/>
          <w:sz w:val="32"/>
          <w:szCs w:val="32"/>
        </w:rPr>
        <w:t>党中央、国务院、省委、省政府和市委、市政府高度重视医疗保障工作，把医疗保障事业发展摆在更加突出位置，不断强化顶层设计。国家《“十四五”全民医疗保障规划》，明确未来五年医疗保障事业发展的目标和重点任务。《湖北省医疗保障事业发展“十四五”规划》、《黄石市医疗保障事业发展“十四五”规划》以及大冶市“十四五”规划，勾画出未来五年医疗保障事业发展蓝图，为深化全市医疗保障制度改革带来全新机遇。大冶市成为全省医疗保障事业发展“十四五”规划落实的联系点，也为全市医疗保障事业发展带来重要契机。</w:t>
      </w:r>
      <w:r>
        <w:rPr>
          <w:sz w:val="32"/>
          <w:szCs w:val="32"/>
        </w:rPr>
        <w:t xml:space="preserve"> </w:t>
      </w:r>
    </w:p>
    <w:p>
      <w:pPr>
        <w:widowControl/>
        <w:ind w:firstLine="643" w:firstLineChars="200"/>
        <w:rPr>
          <w:sz w:val="32"/>
          <w:szCs w:val="32"/>
        </w:rPr>
      </w:pPr>
      <w:r>
        <w:rPr>
          <w:rFonts w:hint="eastAsia"/>
          <w:b/>
          <w:sz w:val="32"/>
          <w:szCs w:val="32"/>
        </w:rPr>
        <w:t>——区域发展战略机遇。</w:t>
      </w:r>
      <w:r>
        <w:rPr>
          <w:rFonts w:hint="eastAsia"/>
          <w:sz w:val="32"/>
          <w:szCs w:val="32"/>
        </w:rPr>
        <w:t>湖北省正在构建“一主引领、两翼驱动、全域协同”区域发展布局。省第十二次党代会提出大力发展以武鄂黄黄为核心的武汉都市圈，武汉都市圈同城化发展，推动武汉市医疗、社保优质资源与圈内城市共建共享。黄石市正在构建“一心两带、多点支撑、全域一体”区域发展布局。大冶市在湖北省、武汉市和黄石市的区域发展布局中具有重要地位，政务服务“跨域通办”、“跨市通办”的实施，为提升大冶市医疗保障经办服务水平，提供重要契机。</w:t>
      </w:r>
    </w:p>
    <w:p>
      <w:pPr>
        <w:widowControl/>
        <w:ind w:firstLine="643" w:firstLineChars="200"/>
        <w:rPr>
          <w:sz w:val="32"/>
          <w:szCs w:val="32"/>
        </w:rPr>
      </w:pPr>
      <w:r>
        <w:rPr>
          <w:rFonts w:hint="eastAsia"/>
          <w:b/>
          <w:sz w:val="32"/>
          <w:szCs w:val="32"/>
        </w:rPr>
        <w:t>——奋进全国县域经济5</w:t>
      </w:r>
      <w:r>
        <w:rPr>
          <w:b/>
          <w:sz w:val="32"/>
          <w:szCs w:val="32"/>
        </w:rPr>
        <w:t>0</w:t>
      </w:r>
      <w:r>
        <w:rPr>
          <w:rFonts w:hint="eastAsia"/>
          <w:b/>
          <w:sz w:val="32"/>
          <w:szCs w:val="32"/>
        </w:rPr>
        <w:t>强。</w:t>
      </w:r>
      <w:r>
        <w:rPr>
          <w:rFonts w:hint="eastAsia"/>
          <w:sz w:val="32"/>
          <w:szCs w:val="32"/>
        </w:rPr>
        <w:t>作为湖北县域经济发展的领头雁，大冶市拥有“中国最具投资潜力城市”、“全国文明城市（第五批）”、“湖北省文明城市”和“湖北省城乡一体化发展标兵城市”等众多荣誉。2</w:t>
      </w:r>
      <w:r>
        <w:rPr>
          <w:sz w:val="32"/>
          <w:szCs w:val="32"/>
        </w:rPr>
        <w:t>020</w:t>
      </w:r>
      <w:r>
        <w:rPr>
          <w:rFonts w:hint="eastAsia"/>
          <w:sz w:val="32"/>
          <w:szCs w:val="32"/>
        </w:rPr>
        <w:t>年全国县域经济百强名单中，大冶市位列第7</w:t>
      </w:r>
      <w:r>
        <w:rPr>
          <w:sz w:val="32"/>
          <w:szCs w:val="32"/>
        </w:rPr>
        <w:t>2</w:t>
      </w:r>
      <w:r>
        <w:rPr>
          <w:rFonts w:hint="eastAsia"/>
          <w:sz w:val="32"/>
          <w:szCs w:val="32"/>
        </w:rPr>
        <w:t>位。大冶市“十四五”规划明确提出，未来五年要奋进全国县域经济5</w:t>
      </w:r>
      <w:r>
        <w:rPr>
          <w:sz w:val="32"/>
          <w:szCs w:val="32"/>
        </w:rPr>
        <w:t>0</w:t>
      </w:r>
      <w:r>
        <w:rPr>
          <w:rFonts w:hint="eastAsia"/>
          <w:sz w:val="32"/>
          <w:szCs w:val="32"/>
        </w:rPr>
        <w:t>强。大冶市的众多荣誉以及未来五年的发展目标，将吸引更多优质企业落户大冶，为优化医疗保障体系结构，提供重要机遇。</w:t>
      </w:r>
    </w:p>
    <w:p>
      <w:pPr>
        <w:pStyle w:val="4"/>
        <w:jc w:val="center"/>
      </w:pPr>
      <w:bookmarkStart w:id="3" w:name="_Toc110200778"/>
      <w:r>
        <w:rPr>
          <w:rFonts w:hint="eastAsia"/>
        </w:rPr>
        <w:t xml:space="preserve">第三节 </w:t>
      </w:r>
      <w:r>
        <w:t xml:space="preserve"> </w:t>
      </w:r>
      <w:r>
        <w:rPr>
          <w:rFonts w:hint="eastAsia"/>
        </w:rPr>
        <w:t>主要挑战</w:t>
      </w:r>
      <w:bookmarkEnd w:id="3"/>
    </w:p>
    <w:p>
      <w:pPr>
        <w:widowControl/>
        <w:ind w:firstLine="640" w:firstLineChars="200"/>
        <w:rPr>
          <w:sz w:val="32"/>
          <w:szCs w:val="32"/>
        </w:rPr>
      </w:pPr>
      <w:r>
        <w:rPr>
          <w:rFonts w:hint="eastAsia"/>
          <w:sz w:val="32"/>
          <w:szCs w:val="32"/>
        </w:rPr>
        <w:t>全市社会经济的快速发展和医疗保障度改革持续深化，医疗服务需求和公共卫生服务需求不断释放，“医共体”建设带来医疗卫生资源重新布局，人口老龄化、疾病谱变化和医疗技术进步导致医疗费用结构深度调整，新经济持续发力带来就业形态深刻变革，对医疗保障事业高质量发展提出更多期待和更高要求，面对人民群众日益增长的美好医疗需求，全市医疗保障事业高质量发展也面临诸多挑战。</w:t>
      </w:r>
    </w:p>
    <w:p>
      <w:pPr>
        <w:ind w:firstLine="643" w:firstLineChars="200"/>
        <w:rPr>
          <w:sz w:val="32"/>
          <w:szCs w:val="32"/>
        </w:rPr>
      </w:pPr>
      <w:r>
        <w:rPr>
          <w:rFonts w:hint="eastAsia"/>
          <w:b/>
          <w:sz w:val="32"/>
          <w:szCs w:val="32"/>
        </w:rPr>
        <w:t>——多层次医疗保障体系还不健全。</w:t>
      </w:r>
      <w:r>
        <w:rPr>
          <w:rFonts w:hint="eastAsia"/>
          <w:sz w:val="32"/>
          <w:szCs w:val="32"/>
        </w:rPr>
        <w:t>全市基本医疗保险“一保独大”特点明显，医疗救助制度有待完善，商业健康保险、医疗互助、慈善捐赠发展滞后，多层次医疗保障协同发展不足。“十三五”期间我市年均净流出人口3.77万人。上级部门下达的参保任务并未减少，导致巩固参保扩面工作难度增加。我市职工医保参保人数只占1</w:t>
      </w:r>
      <w:r>
        <w:rPr>
          <w:sz w:val="32"/>
          <w:szCs w:val="32"/>
        </w:rPr>
        <w:t>0.6</w:t>
      </w:r>
      <w:r>
        <w:rPr>
          <w:rFonts w:hint="eastAsia"/>
          <w:sz w:val="32"/>
          <w:szCs w:val="32"/>
        </w:rPr>
        <w:t>%左右，居民医保参保缴费主体在乡镇，由于缺乏严格考核，导致基金征缴工作开展困难。</w:t>
      </w:r>
    </w:p>
    <w:p>
      <w:pPr>
        <w:widowControl/>
        <w:ind w:firstLine="643" w:firstLineChars="200"/>
        <w:rPr>
          <w:sz w:val="32"/>
          <w:szCs w:val="32"/>
        </w:rPr>
      </w:pPr>
      <w:r>
        <w:rPr>
          <w:rFonts w:hint="eastAsia"/>
          <w:b/>
          <w:sz w:val="32"/>
          <w:szCs w:val="32"/>
        </w:rPr>
        <w:t>——医保基金安全结构性矛盾突出。</w:t>
      </w:r>
      <w:r>
        <w:rPr>
          <w:rFonts w:hint="eastAsia"/>
          <w:sz w:val="32"/>
          <w:szCs w:val="32"/>
        </w:rPr>
        <w:t>基本医疗保险基金累积结余过多，基金安全结构性矛盾突出。截至2</w:t>
      </w:r>
      <w:r>
        <w:rPr>
          <w:sz w:val="32"/>
          <w:szCs w:val="32"/>
        </w:rPr>
        <w:t>020</w:t>
      </w:r>
      <w:r>
        <w:rPr>
          <w:rFonts w:hint="eastAsia"/>
          <w:sz w:val="32"/>
          <w:szCs w:val="32"/>
        </w:rPr>
        <w:t>年底，全市医保基金累积结余高达</w:t>
      </w:r>
      <w:r>
        <w:rPr>
          <w:sz w:val="32"/>
          <w:szCs w:val="32"/>
        </w:rPr>
        <w:t>14.52</w:t>
      </w:r>
      <w:r>
        <w:rPr>
          <w:rFonts w:hint="eastAsia"/>
          <w:sz w:val="32"/>
          <w:szCs w:val="32"/>
        </w:rPr>
        <w:t>亿元，其中，职工医保基金7</w:t>
      </w:r>
      <w:r>
        <w:rPr>
          <w:sz w:val="32"/>
          <w:szCs w:val="32"/>
        </w:rPr>
        <w:t>.34</w:t>
      </w:r>
      <w:r>
        <w:rPr>
          <w:rFonts w:hint="eastAsia"/>
          <w:sz w:val="32"/>
          <w:szCs w:val="32"/>
        </w:rPr>
        <w:t>亿元（含个人账户基金4</w:t>
      </w:r>
      <w:r>
        <w:rPr>
          <w:sz w:val="32"/>
          <w:szCs w:val="32"/>
        </w:rPr>
        <w:t>.13</w:t>
      </w:r>
      <w:r>
        <w:rPr>
          <w:rFonts w:hint="eastAsia"/>
          <w:sz w:val="32"/>
          <w:szCs w:val="32"/>
        </w:rPr>
        <w:t>亿元），居民医保基金7</w:t>
      </w:r>
      <w:r>
        <w:rPr>
          <w:sz w:val="32"/>
          <w:szCs w:val="32"/>
        </w:rPr>
        <w:t>.18</w:t>
      </w:r>
      <w:r>
        <w:rPr>
          <w:rFonts w:hint="eastAsia"/>
          <w:sz w:val="32"/>
          <w:szCs w:val="32"/>
        </w:rPr>
        <w:t>亿元。“十三五”期间，医保基金收入增长率远远低于支出增长率。其中，职工医保基金收入增长率年均仅为4</w:t>
      </w:r>
      <w:r>
        <w:rPr>
          <w:sz w:val="32"/>
          <w:szCs w:val="32"/>
        </w:rPr>
        <w:t>.2</w:t>
      </w:r>
      <w:r>
        <w:rPr>
          <w:rFonts w:hint="eastAsia"/>
          <w:sz w:val="32"/>
          <w:szCs w:val="32"/>
        </w:rPr>
        <w:t>%，而支出增长率却高达1</w:t>
      </w:r>
      <w:r>
        <w:rPr>
          <w:sz w:val="32"/>
          <w:szCs w:val="32"/>
        </w:rPr>
        <w:t>7.8</w:t>
      </w:r>
      <w:r>
        <w:rPr>
          <w:rFonts w:hint="eastAsia"/>
          <w:sz w:val="32"/>
          <w:szCs w:val="32"/>
        </w:rPr>
        <w:t>%；居民医保基金收入增长率年均为6</w:t>
      </w:r>
      <w:r>
        <w:rPr>
          <w:sz w:val="32"/>
          <w:szCs w:val="32"/>
        </w:rPr>
        <w:t>.4</w:t>
      </w:r>
      <w:r>
        <w:rPr>
          <w:rFonts w:hint="eastAsia"/>
          <w:sz w:val="32"/>
          <w:szCs w:val="32"/>
        </w:rPr>
        <w:t>%，支出增长率为8</w:t>
      </w:r>
      <w:r>
        <w:rPr>
          <w:sz w:val="32"/>
          <w:szCs w:val="32"/>
        </w:rPr>
        <w:t>.7</w:t>
      </w:r>
      <w:r>
        <w:rPr>
          <w:rFonts w:hint="eastAsia"/>
          <w:sz w:val="32"/>
          <w:szCs w:val="32"/>
        </w:rPr>
        <w:t>%。</w:t>
      </w:r>
    </w:p>
    <w:p>
      <w:pPr>
        <w:widowControl/>
        <w:ind w:firstLine="643" w:firstLineChars="200"/>
        <w:rPr>
          <w:sz w:val="32"/>
          <w:szCs w:val="32"/>
        </w:rPr>
      </w:pPr>
      <w:r>
        <w:rPr>
          <w:rFonts w:hint="eastAsia"/>
          <w:b/>
          <w:sz w:val="32"/>
          <w:szCs w:val="32"/>
        </w:rPr>
        <w:t>——医保经办服务能力有待提高。</w:t>
      </w:r>
      <w:r>
        <w:rPr>
          <w:rFonts w:hint="eastAsia"/>
          <w:sz w:val="32"/>
          <w:szCs w:val="32"/>
        </w:rPr>
        <w:t>经办服务网络不健全，乡镇（街道）层面经办人员和办公场所落实不到位。医保信息化建设滞后，电子医保凭证普及率较低，激活率不到3</w:t>
      </w:r>
      <w:r>
        <w:rPr>
          <w:sz w:val="32"/>
          <w:szCs w:val="32"/>
        </w:rPr>
        <w:t>0</w:t>
      </w:r>
      <w:r>
        <w:rPr>
          <w:rFonts w:hint="eastAsia"/>
          <w:sz w:val="32"/>
          <w:szCs w:val="32"/>
        </w:rPr>
        <w:t>%。国家统一的医保经办服务新系统，有些模块在地方无法有效落地。医保、民政、人社、教育、公安等部门之间信息共享不足，导致漏保、断保、重复参保和重复享受医保待遇等问题。智能云端、大数据等信息化手段利用不足，人民群众优质便捷的医保服务体验有待进一步提升。</w:t>
      </w:r>
    </w:p>
    <w:p>
      <w:pPr>
        <w:widowControl/>
        <w:ind w:firstLine="643" w:firstLineChars="200"/>
        <w:rPr>
          <w:sz w:val="32"/>
          <w:szCs w:val="32"/>
        </w:rPr>
      </w:pPr>
      <w:r>
        <w:rPr>
          <w:rFonts w:hint="eastAsia"/>
          <w:b/>
          <w:sz w:val="32"/>
          <w:szCs w:val="32"/>
        </w:rPr>
        <w:t>——医保基金监管制度体系不完善。</w:t>
      </w:r>
      <w:r>
        <w:rPr>
          <w:rFonts w:hint="eastAsia"/>
          <w:sz w:val="32"/>
          <w:szCs w:val="32"/>
        </w:rPr>
        <w:t>面对全市6</w:t>
      </w:r>
      <w:r>
        <w:rPr>
          <w:sz w:val="32"/>
          <w:szCs w:val="32"/>
        </w:rPr>
        <w:t>50</w:t>
      </w:r>
      <w:r>
        <w:rPr>
          <w:rFonts w:hint="eastAsia"/>
          <w:sz w:val="32"/>
          <w:szCs w:val="32"/>
        </w:rPr>
        <w:t>余家定点医药机构以及8</w:t>
      </w:r>
      <w:r>
        <w:rPr>
          <w:sz w:val="32"/>
          <w:szCs w:val="32"/>
        </w:rPr>
        <w:t>0</w:t>
      </w:r>
      <w:r>
        <w:rPr>
          <w:rFonts w:hint="eastAsia"/>
          <w:sz w:val="32"/>
          <w:szCs w:val="32"/>
        </w:rPr>
        <w:t>余万参保群众多层次、多样化的健康服务需求，全市医保基金监管人员编制只有1</w:t>
      </w:r>
      <w:r>
        <w:rPr>
          <w:sz w:val="32"/>
          <w:szCs w:val="32"/>
        </w:rPr>
        <w:t>5</w:t>
      </w:r>
      <w:r>
        <w:rPr>
          <w:rFonts w:hint="eastAsia"/>
          <w:sz w:val="32"/>
          <w:szCs w:val="32"/>
        </w:rPr>
        <w:t>个，五种监管能力人才欠缺，特别是会计、审计、律师等3种专业人才处于空白，医保部门编制少、监管队伍专业化程度低的现实矛盾突出。医保与卫健、公安等部门之间的协同监管机制不健全，医保基金监管方式较为单一，仍然以协议管理为主。智能监控、信用监管处于空白状态，大数据技术手段使用不足，与国家提出的监管工作目标差距较大。社会监督较为欠缺。医保经办机构和两定机构自律机制建设滞后，内控效果有待进一步提升。</w:t>
      </w:r>
    </w:p>
    <w:p>
      <w:pPr>
        <w:pStyle w:val="3"/>
        <w:jc w:val="center"/>
      </w:pPr>
      <w:bookmarkStart w:id="4" w:name="_Toc110200779"/>
      <w:r>
        <w:rPr>
          <w:rFonts w:hint="eastAsia"/>
        </w:rPr>
        <w:t xml:space="preserve">第二章 </w:t>
      </w:r>
      <w:r>
        <w:t xml:space="preserve"> </w:t>
      </w:r>
      <w:r>
        <w:rPr>
          <w:rFonts w:hint="eastAsia"/>
        </w:rPr>
        <w:t>总体要求</w:t>
      </w:r>
      <w:bookmarkEnd w:id="4"/>
    </w:p>
    <w:p>
      <w:pPr>
        <w:pStyle w:val="4"/>
        <w:jc w:val="center"/>
      </w:pPr>
      <w:bookmarkStart w:id="5" w:name="_Toc110200780"/>
      <w:r>
        <w:rPr>
          <w:rFonts w:hint="eastAsia"/>
        </w:rPr>
        <w:t xml:space="preserve">第一节 </w:t>
      </w:r>
      <w:r>
        <w:t xml:space="preserve"> </w:t>
      </w:r>
      <w:r>
        <w:rPr>
          <w:rFonts w:hint="eastAsia"/>
        </w:rPr>
        <w:t>指导思想</w:t>
      </w:r>
      <w:bookmarkEnd w:id="5"/>
    </w:p>
    <w:p>
      <w:pPr>
        <w:widowControl/>
        <w:ind w:firstLine="640" w:firstLineChars="200"/>
        <w:rPr>
          <w:sz w:val="32"/>
          <w:szCs w:val="32"/>
        </w:rPr>
      </w:pPr>
      <w:r>
        <w:rPr>
          <w:rFonts w:hint="eastAsia"/>
          <w:sz w:val="32"/>
          <w:szCs w:val="32"/>
        </w:rPr>
        <w:t>以习近平新时代中国特色社会主义思想为指导，深入贯彻党的十九大和十九届二中、三中、四中、五中、六中全会及省第十二次党代会精神，积极落实上级党委和政府有关深化医疗保障制度改革的决策部署，牢牢抓住以武鄂黄黄为核心的武汉都市圈同城化发展和黄石环大冶湖一体化发展机遇，坚持以人民健康为中心，深入实施健康大冶战略，以推动全市医疗保障事业高质量发展为主题，坚持新发展理念，以改革创新为根本动力，坚持医疗保障需求侧管理和医药服务供给侧改革并重，加快健全覆盖全民、统筹城乡、公平统一、可持续的多层次医疗保障体系，持续增强人民群众的获得感、幸福感和安全感。</w:t>
      </w:r>
    </w:p>
    <w:p>
      <w:pPr>
        <w:pStyle w:val="4"/>
        <w:jc w:val="center"/>
      </w:pPr>
      <w:bookmarkStart w:id="6" w:name="_Toc110200781"/>
      <w:r>
        <w:rPr>
          <w:rFonts w:hint="eastAsia"/>
        </w:rPr>
        <w:t xml:space="preserve">第二节 </w:t>
      </w:r>
      <w:r>
        <w:t xml:space="preserve"> </w:t>
      </w:r>
      <w:r>
        <w:rPr>
          <w:rFonts w:hint="eastAsia"/>
        </w:rPr>
        <w:t>基本原则</w:t>
      </w:r>
      <w:bookmarkEnd w:id="6"/>
    </w:p>
    <w:p>
      <w:pPr>
        <w:pStyle w:val="5"/>
        <w:ind w:firstLine="643" w:firstLineChars="200"/>
      </w:pPr>
      <w:bookmarkStart w:id="7" w:name="_Toc110200782"/>
      <w:r>
        <w:rPr>
          <w:rFonts w:hint="eastAsia"/>
        </w:rPr>
        <w:t>一、坚持党建引领、人民至上</w:t>
      </w:r>
      <w:bookmarkEnd w:id="7"/>
    </w:p>
    <w:p>
      <w:pPr>
        <w:ind w:firstLine="640" w:firstLineChars="200"/>
        <w:rPr>
          <w:rFonts w:ascii="宋体" w:hAnsi="宋体" w:eastAsia="宋体" w:cstheme="majorHAnsi"/>
          <w:b/>
          <w:bCs/>
          <w:kern w:val="0"/>
          <w:sz w:val="32"/>
          <w:szCs w:val="32"/>
        </w:rPr>
      </w:pPr>
      <w:r>
        <w:rPr>
          <w:rFonts w:ascii="宋体" w:hAnsi="宋体" w:eastAsia="宋体" w:cstheme="majorHAnsi"/>
          <w:kern w:val="0"/>
          <w:sz w:val="32"/>
          <w:szCs w:val="32"/>
        </w:rPr>
        <w:t>坚持党建引领</w:t>
      </w:r>
      <w:r>
        <w:rPr>
          <w:rFonts w:hint="eastAsia" w:ascii="宋体" w:hAnsi="宋体" w:eastAsia="宋体" w:cstheme="majorHAnsi"/>
          <w:kern w:val="0"/>
          <w:sz w:val="32"/>
          <w:szCs w:val="32"/>
        </w:rPr>
        <w:t>全市医疗保障事业发展的总基调</w:t>
      </w:r>
      <w:r>
        <w:rPr>
          <w:rFonts w:ascii="宋体" w:hAnsi="宋体" w:eastAsia="宋体" w:cstheme="majorHAnsi"/>
          <w:kern w:val="0"/>
          <w:sz w:val="32"/>
          <w:szCs w:val="32"/>
        </w:rPr>
        <w:t>，坚持党委把方向、管大局、作决策、促改革、保落实的领导核心</w:t>
      </w:r>
      <w:r>
        <w:rPr>
          <w:rFonts w:hint="eastAsia" w:ascii="宋体" w:hAnsi="宋体" w:eastAsia="宋体" w:cstheme="majorHAnsi"/>
          <w:kern w:val="0"/>
          <w:sz w:val="32"/>
          <w:szCs w:val="32"/>
        </w:rPr>
        <w:t>。坚持</w:t>
      </w:r>
      <w:r>
        <w:rPr>
          <w:rFonts w:ascii="宋体" w:hAnsi="宋体" w:eastAsia="宋体" w:cstheme="majorHAnsi"/>
          <w:kern w:val="0"/>
          <w:sz w:val="32"/>
          <w:szCs w:val="32"/>
        </w:rPr>
        <w:t>把维护人民生命安全和身体健康放在首位，</w:t>
      </w:r>
      <w:r>
        <w:rPr>
          <w:rFonts w:hint="eastAsia" w:ascii="宋体" w:hAnsi="宋体" w:eastAsia="宋体" w:cstheme="majorHAnsi"/>
          <w:kern w:val="0"/>
          <w:sz w:val="32"/>
          <w:szCs w:val="32"/>
        </w:rPr>
        <w:t>促进大冶市多层次医疗保障体系更加成熟定型</w:t>
      </w:r>
      <w:r>
        <w:rPr>
          <w:rFonts w:ascii="宋体" w:hAnsi="宋体" w:eastAsia="宋体" w:cstheme="majorHAnsi"/>
          <w:kern w:val="0"/>
          <w:sz w:val="32"/>
          <w:szCs w:val="32"/>
        </w:rPr>
        <w:t>，</w:t>
      </w:r>
      <w:r>
        <w:rPr>
          <w:rFonts w:ascii="宋体" w:hAnsi="宋体" w:eastAsia="宋体" w:cstheme="majorHAnsi"/>
          <w:bCs/>
          <w:kern w:val="0"/>
          <w:sz w:val="32"/>
          <w:szCs w:val="32"/>
        </w:rPr>
        <w:t>让广大人民群众共享</w:t>
      </w:r>
      <w:r>
        <w:rPr>
          <w:rFonts w:hint="eastAsia" w:ascii="宋体" w:hAnsi="宋体" w:eastAsia="宋体" w:cstheme="majorHAnsi"/>
          <w:bCs/>
          <w:kern w:val="0"/>
          <w:sz w:val="32"/>
          <w:szCs w:val="32"/>
        </w:rPr>
        <w:t>全市</w:t>
      </w:r>
      <w:r>
        <w:rPr>
          <w:rFonts w:ascii="宋体" w:hAnsi="宋体" w:eastAsia="宋体" w:cstheme="majorHAnsi"/>
          <w:bCs/>
          <w:kern w:val="0"/>
          <w:sz w:val="32"/>
          <w:szCs w:val="32"/>
        </w:rPr>
        <w:t>改革发展成果。</w:t>
      </w:r>
    </w:p>
    <w:p>
      <w:pPr>
        <w:pStyle w:val="5"/>
        <w:ind w:firstLine="643" w:firstLineChars="200"/>
      </w:pPr>
      <w:bookmarkStart w:id="8" w:name="_Toc110200783"/>
      <w:r>
        <w:rPr>
          <w:rFonts w:hint="eastAsia"/>
        </w:rPr>
        <w:t>二、坚持覆盖全民、应保尽保</w:t>
      </w:r>
      <w:bookmarkEnd w:id="8"/>
    </w:p>
    <w:p>
      <w:pPr>
        <w:ind w:firstLine="640" w:firstLineChars="200"/>
        <w:rPr>
          <w:rFonts w:ascii="宋体" w:hAnsi="宋体" w:eastAsia="宋体" w:cstheme="majorHAnsi"/>
          <w:kern w:val="0"/>
          <w:sz w:val="32"/>
          <w:szCs w:val="32"/>
        </w:rPr>
      </w:pPr>
      <w:r>
        <w:rPr>
          <w:rFonts w:hint="eastAsia" w:ascii="宋体" w:hAnsi="宋体" w:eastAsia="宋体" w:cstheme="majorHAnsi"/>
          <w:kern w:val="0"/>
          <w:sz w:val="32"/>
          <w:szCs w:val="32"/>
        </w:rPr>
        <w:t>坚持基本医疗保障依法覆盖全民</w:t>
      </w:r>
      <w:r>
        <w:rPr>
          <w:rFonts w:ascii="宋体" w:hAnsi="宋体" w:eastAsia="宋体" w:cstheme="majorHAnsi"/>
          <w:kern w:val="0"/>
          <w:sz w:val="32"/>
          <w:szCs w:val="32"/>
        </w:rPr>
        <w:t>，</w:t>
      </w:r>
      <w:r>
        <w:rPr>
          <w:rFonts w:hint="eastAsia" w:ascii="宋体" w:hAnsi="宋体" w:eastAsia="宋体" w:cstheme="majorHAnsi"/>
          <w:kern w:val="0"/>
          <w:sz w:val="32"/>
          <w:szCs w:val="32"/>
        </w:rPr>
        <w:t>确保人人享有基本医疗保障。加强不同部门之间的医疗保障信息共享，建立医疗保障信息比对机制，及时核实漏保、断保，确保应保尽保，避免重复参保和重复享受医保待遇</w:t>
      </w:r>
      <w:r>
        <w:rPr>
          <w:rFonts w:ascii="宋体" w:hAnsi="宋体" w:eastAsia="宋体" w:cstheme="majorHAnsi"/>
          <w:kern w:val="0"/>
          <w:sz w:val="32"/>
          <w:szCs w:val="32"/>
        </w:rPr>
        <w:t>。</w:t>
      </w:r>
    </w:p>
    <w:p>
      <w:pPr>
        <w:pStyle w:val="5"/>
        <w:ind w:firstLine="643" w:firstLineChars="200"/>
      </w:pPr>
      <w:bookmarkStart w:id="9" w:name="_Toc110200784"/>
      <w:r>
        <w:rPr>
          <w:rFonts w:hint="eastAsia"/>
        </w:rPr>
        <w:t>三、坚持保障基本、公平适度</w:t>
      </w:r>
      <w:bookmarkEnd w:id="9"/>
    </w:p>
    <w:p>
      <w:pPr>
        <w:ind w:firstLine="640" w:firstLineChars="200"/>
        <w:rPr>
          <w:rFonts w:ascii="宋体" w:hAnsi="宋体" w:eastAsia="宋体" w:cstheme="majorHAnsi"/>
          <w:kern w:val="0"/>
          <w:sz w:val="32"/>
          <w:szCs w:val="32"/>
        </w:rPr>
      </w:pPr>
      <w:r>
        <w:rPr>
          <w:rFonts w:ascii="宋体" w:hAnsi="宋体" w:eastAsia="宋体" w:cstheme="majorHAnsi"/>
          <w:kern w:val="0"/>
          <w:sz w:val="32"/>
          <w:szCs w:val="32"/>
        </w:rPr>
        <w:t>坚持基本</w:t>
      </w:r>
      <w:r>
        <w:rPr>
          <w:rFonts w:hint="eastAsia" w:ascii="宋体" w:hAnsi="宋体" w:eastAsia="宋体" w:cstheme="majorHAnsi"/>
          <w:kern w:val="0"/>
          <w:sz w:val="32"/>
          <w:szCs w:val="32"/>
        </w:rPr>
        <w:t>医疗保障“保基本”定位</w:t>
      </w:r>
      <w:r>
        <w:rPr>
          <w:rFonts w:ascii="宋体" w:hAnsi="宋体" w:eastAsia="宋体" w:cstheme="majorHAnsi"/>
          <w:kern w:val="0"/>
          <w:sz w:val="32"/>
          <w:szCs w:val="32"/>
        </w:rPr>
        <w:t>，</w:t>
      </w:r>
      <w:r>
        <w:rPr>
          <w:rFonts w:hint="eastAsia" w:ascii="宋体" w:hAnsi="宋体" w:eastAsia="宋体" w:cstheme="majorHAnsi"/>
          <w:kern w:val="0"/>
          <w:sz w:val="32"/>
          <w:szCs w:val="32"/>
        </w:rPr>
        <w:t>促进多层次医疗保障协调发展。</w:t>
      </w:r>
      <w:r>
        <w:rPr>
          <w:rFonts w:ascii="宋体" w:hAnsi="宋体" w:eastAsia="宋体" w:cstheme="majorHAnsi"/>
          <w:kern w:val="0"/>
          <w:sz w:val="32"/>
          <w:szCs w:val="32"/>
        </w:rPr>
        <w:t>尽力而为、量力而行</w:t>
      </w:r>
      <w:r>
        <w:rPr>
          <w:rFonts w:hint="eastAsia" w:ascii="宋体" w:hAnsi="宋体" w:eastAsia="宋体" w:cstheme="majorHAnsi"/>
          <w:kern w:val="0"/>
          <w:sz w:val="32"/>
          <w:szCs w:val="32"/>
        </w:rPr>
        <w:t>，</w:t>
      </w:r>
      <w:r>
        <w:rPr>
          <w:rFonts w:ascii="宋体" w:hAnsi="宋体" w:eastAsia="宋体" w:cstheme="majorHAnsi"/>
          <w:kern w:val="0"/>
          <w:sz w:val="32"/>
          <w:szCs w:val="32"/>
        </w:rPr>
        <w:t>实事求是确定</w:t>
      </w:r>
      <w:r>
        <w:rPr>
          <w:rFonts w:hint="eastAsia" w:ascii="宋体" w:hAnsi="宋体" w:eastAsia="宋体" w:cstheme="majorHAnsi"/>
          <w:kern w:val="0"/>
          <w:sz w:val="32"/>
          <w:szCs w:val="32"/>
        </w:rPr>
        <w:t>基本医疗</w:t>
      </w:r>
      <w:r>
        <w:rPr>
          <w:rFonts w:ascii="宋体" w:hAnsi="宋体" w:eastAsia="宋体" w:cstheme="majorHAnsi"/>
          <w:kern w:val="0"/>
          <w:sz w:val="32"/>
          <w:szCs w:val="32"/>
        </w:rPr>
        <w:t>保障范围和标准。坚持</w:t>
      </w:r>
      <w:r>
        <w:rPr>
          <w:rFonts w:hint="eastAsia" w:ascii="宋体" w:hAnsi="宋体" w:eastAsia="宋体" w:cstheme="majorHAnsi"/>
          <w:kern w:val="0"/>
          <w:sz w:val="32"/>
          <w:szCs w:val="32"/>
        </w:rPr>
        <w:t>依法参保、分类保障</w:t>
      </w:r>
      <w:r>
        <w:rPr>
          <w:rFonts w:ascii="宋体" w:hAnsi="宋体" w:eastAsia="宋体" w:cstheme="majorHAnsi"/>
          <w:kern w:val="0"/>
          <w:sz w:val="32"/>
          <w:szCs w:val="32"/>
        </w:rPr>
        <w:t>，科学确定筹资水平，均衡各方缴费责任</w:t>
      </w:r>
      <w:r>
        <w:rPr>
          <w:rFonts w:hint="eastAsia" w:ascii="宋体" w:hAnsi="宋体" w:eastAsia="宋体" w:cstheme="majorHAnsi"/>
          <w:kern w:val="0"/>
          <w:sz w:val="32"/>
          <w:szCs w:val="32"/>
        </w:rPr>
        <w:t>，逐步缩小城镇职工医保和城乡居民医保的筹资水平和待遇保障水平的差距，促进基本医疗保障公平适度</w:t>
      </w:r>
      <w:r>
        <w:rPr>
          <w:rFonts w:ascii="宋体" w:hAnsi="宋体" w:eastAsia="宋体" w:cstheme="majorHAnsi"/>
          <w:kern w:val="0"/>
          <w:sz w:val="32"/>
          <w:szCs w:val="32"/>
        </w:rPr>
        <w:t>。</w:t>
      </w:r>
    </w:p>
    <w:p>
      <w:pPr>
        <w:pStyle w:val="5"/>
        <w:ind w:firstLine="643" w:firstLineChars="200"/>
      </w:pPr>
      <w:bookmarkStart w:id="10" w:name="_Toc110200785"/>
      <w:r>
        <w:rPr>
          <w:rFonts w:hint="eastAsia"/>
        </w:rPr>
        <w:t>四、坚持优化服务、信息赋能</w:t>
      </w:r>
      <w:bookmarkEnd w:id="10"/>
    </w:p>
    <w:p>
      <w:pPr>
        <w:ind w:firstLine="620" w:firstLineChars="200"/>
        <w:rPr>
          <w:rFonts w:ascii="宋体" w:hAnsi="宋体" w:eastAsia="宋体" w:cs="宋体"/>
          <w:sz w:val="31"/>
          <w:szCs w:val="31"/>
        </w:rPr>
      </w:pPr>
      <w:r>
        <w:rPr>
          <w:rFonts w:hint="eastAsia" w:ascii="宋体" w:hAnsi="宋体" w:eastAsia="宋体" w:cs="宋体"/>
          <w:sz w:val="31"/>
          <w:szCs w:val="31"/>
        </w:rPr>
        <w:t>深入推动医疗保障领域“放管服”改革，加强经办服务体系和经办服务能力建设，大力推进“最多跑一次”事项标准化、规范化发展。加快医疗保障信息化建设，推进全市医疗保障数字化改革。优化医疗保障政务服务方式，坚持传统服务方式和智能化服务方式并行。</w:t>
      </w:r>
    </w:p>
    <w:p>
      <w:pPr>
        <w:pStyle w:val="5"/>
        <w:ind w:firstLine="643" w:firstLineChars="200"/>
      </w:pPr>
      <w:bookmarkStart w:id="11" w:name="_Toc110200786"/>
      <w:r>
        <w:rPr>
          <w:rFonts w:hint="eastAsia"/>
        </w:rPr>
        <w:t>五、坚持依法治理、协同高效</w:t>
      </w:r>
      <w:bookmarkEnd w:id="11"/>
    </w:p>
    <w:p>
      <w:pPr>
        <w:ind w:firstLine="620" w:firstLineChars="200"/>
      </w:pPr>
      <w:r>
        <w:rPr>
          <w:rFonts w:hint="eastAsia" w:ascii="宋体" w:hAnsi="宋体" w:eastAsia="宋体" w:cs="宋体"/>
          <w:kern w:val="0"/>
          <w:sz w:val="31"/>
          <w:szCs w:val="31"/>
          <w:lang w:bidi="ar"/>
        </w:rPr>
        <w:t>将法治理念融入医疗保障工作的各个环节，提升医疗保障工作的法治能力和水平。加快医保基金监管制度体系改革，健全医保基金监管体制机制。</w:t>
      </w:r>
      <w:r>
        <w:rPr>
          <w:rFonts w:hint="eastAsia" w:ascii="宋体" w:hAnsi="宋体" w:eastAsia="宋体" w:cstheme="majorHAnsi"/>
          <w:kern w:val="0"/>
          <w:sz w:val="32"/>
          <w:szCs w:val="32"/>
        </w:rPr>
        <w:t>协同卫健、公安、市场监管等部门，依法依规打击欺诈骗保行为，切实维护基金安全。</w:t>
      </w:r>
      <w:r>
        <w:rPr>
          <w:rFonts w:ascii="宋体" w:hAnsi="宋体" w:eastAsia="宋体" w:cstheme="majorHAnsi"/>
          <w:kern w:val="0"/>
          <w:sz w:val="32"/>
          <w:szCs w:val="32"/>
        </w:rPr>
        <w:t>协同推进“三医联动”</w:t>
      </w:r>
      <w:r>
        <w:rPr>
          <w:rFonts w:hint="eastAsia" w:ascii="宋体" w:hAnsi="宋体" w:eastAsia="宋体" w:cstheme="majorHAnsi"/>
          <w:kern w:val="0"/>
          <w:sz w:val="32"/>
          <w:szCs w:val="32"/>
        </w:rPr>
        <w:t>改革</w:t>
      </w:r>
      <w:r>
        <w:rPr>
          <w:rFonts w:ascii="宋体" w:hAnsi="宋体" w:eastAsia="宋体" w:cstheme="majorHAnsi"/>
          <w:kern w:val="0"/>
          <w:sz w:val="32"/>
          <w:szCs w:val="32"/>
        </w:rPr>
        <w:t>,增强</w:t>
      </w:r>
      <w:r>
        <w:rPr>
          <w:rFonts w:hint="eastAsia" w:ascii="宋体" w:hAnsi="宋体" w:eastAsia="宋体" w:cstheme="majorHAnsi"/>
          <w:kern w:val="0"/>
          <w:sz w:val="32"/>
          <w:szCs w:val="32"/>
        </w:rPr>
        <w:t>医疗保障</w:t>
      </w:r>
      <w:r>
        <w:rPr>
          <w:rFonts w:ascii="宋体" w:hAnsi="宋体" w:eastAsia="宋体" w:cstheme="majorHAnsi"/>
          <w:kern w:val="0"/>
          <w:sz w:val="32"/>
          <w:szCs w:val="32"/>
        </w:rPr>
        <w:t>改革</w:t>
      </w:r>
      <w:r>
        <w:rPr>
          <w:rFonts w:hint="eastAsia" w:ascii="宋体" w:hAnsi="宋体" w:eastAsia="宋体" w:cstheme="majorHAnsi"/>
          <w:kern w:val="0"/>
          <w:sz w:val="32"/>
          <w:szCs w:val="32"/>
        </w:rPr>
        <w:t>的</w:t>
      </w:r>
      <w:r>
        <w:rPr>
          <w:rFonts w:ascii="宋体" w:hAnsi="宋体" w:eastAsia="宋体" w:cstheme="majorHAnsi"/>
          <w:kern w:val="0"/>
          <w:sz w:val="32"/>
          <w:szCs w:val="32"/>
        </w:rPr>
        <w:t>整体性、系统性</w:t>
      </w:r>
      <w:r>
        <w:rPr>
          <w:rFonts w:hint="eastAsia" w:ascii="宋体" w:hAnsi="宋体" w:eastAsia="宋体" w:cstheme="majorHAnsi"/>
          <w:kern w:val="0"/>
          <w:sz w:val="32"/>
          <w:szCs w:val="32"/>
        </w:rPr>
        <w:t>和协调性，</w:t>
      </w:r>
      <w:r>
        <w:rPr>
          <w:rFonts w:ascii="宋体" w:hAnsi="宋体" w:eastAsia="宋体" w:cstheme="majorHAnsi"/>
          <w:kern w:val="0"/>
          <w:sz w:val="32"/>
          <w:szCs w:val="32"/>
        </w:rPr>
        <w:t>保障群众获得高质量、有效率、能负担的医药服务。</w:t>
      </w:r>
    </w:p>
    <w:p>
      <w:pPr>
        <w:pStyle w:val="4"/>
        <w:jc w:val="center"/>
      </w:pPr>
      <w:bookmarkStart w:id="12" w:name="_Toc110200787"/>
      <w:r>
        <w:rPr>
          <w:rFonts w:hint="eastAsia"/>
        </w:rPr>
        <w:t xml:space="preserve">第三节 </w:t>
      </w:r>
      <w:r>
        <w:t xml:space="preserve"> </w:t>
      </w:r>
      <w:r>
        <w:rPr>
          <w:rFonts w:hint="eastAsia"/>
        </w:rPr>
        <w:t>主要目标</w:t>
      </w:r>
      <w:bookmarkEnd w:id="12"/>
    </w:p>
    <w:p>
      <w:pPr>
        <w:ind w:firstLine="640" w:firstLineChars="200"/>
        <w:rPr>
          <w:rFonts w:ascii="宋体" w:hAnsi="宋体" w:eastAsia="宋体" w:cstheme="majorHAnsi"/>
          <w:kern w:val="0"/>
          <w:sz w:val="32"/>
          <w:szCs w:val="32"/>
        </w:rPr>
      </w:pPr>
      <w:r>
        <w:rPr>
          <w:rFonts w:hint="eastAsia" w:ascii="宋体" w:hAnsi="宋体" w:eastAsia="宋体" w:cstheme="majorHAnsi"/>
          <w:kern w:val="0"/>
          <w:sz w:val="32"/>
          <w:szCs w:val="32"/>
        </w:rPr>
        <w:t>到2</w:t>
      </w:r>
      <w:r>
        <w:rPr>
          <w:rFonts w:ascii="宋体" w:hAnsi="宋体" w:eastAsia="宋体" w:cstheme="majorHAnsi"/>
          <w:kern w:val="0"/>
          <w:sz w:val="32"/>
          <w:szCs w:val="32"/>
        </w:rPr>
        <w:t>025</w:t>
      </w:r>
      <w:r>
        <w:rPr>
          <w:rFonts w:hint="eastAsia" w:ascii="宋体" w:hAnsi="宋体" w:eastAsia="宋体" w:cstheme="majorHAnsi"/>
          <w:kern w:val="0"/>
          <w:sz w:val="32"/>
          <w:szCs w:val="32"/>
        </w:rPr>
        <w:t>年，全市医疗保障制度更加成熟定型，基本完成待遇保障、筹资运行、医保支付、基金监管等重要机制和医药服务供给、医保管理服务等关键领域改革任务，全面建成与大冶市社会经济发展相适应的医疗保障体制机制、保障水平和特色亮点，努力打造医疗保障事业高质量发展的市级样板，为大冶市奋进全国县域经济5</w:t>
      </w:r>
      <w:r>
        <w:rPr>
          <w:rFonts w:ascii="宋体" w:hAnsi="宋体" w:eastAsia="宋体" w:cstheme="majorHAnsi"/>
          <w:kern w:val="0"/>
          <w:sz w:val="32"/>
          <w:szCs w:val="32"/>
        </w:rPr>
        <w:t>0</w:t>
      </w:r>
      <w:r>
        <w:rPr>
          <w:rFonts w:hint="eastAsia" w:ascii="宋体" w:hAnsi="宋体" w:eastAsia="宋体" w:cstheme="majorHAnsi"/>
          <w:kern w:val="0"/>
          <w:sz w:val="32"/>
          <w:szCs w:val="32"/>
        </w:rPr>
        <w:t>强展现医保的担当作为。具体目标包括以下五个方面：</w:t>
      </w:r>
    </w:p>
    <w:p>
      <w:pPr>
        <w:pStyle w:val="5"/>
        <w:spacing w:line="415" w:lineRule="auto"/>
        <w:ind w:firstLine="643" w:firstLineChars="200"/>
      </w:pPr>
      <w:bookmarkStart w:id="13" w:name="_Toc110200788"/>
      <w:r>
        <w:rPr>
          <w:rFonts w:hint="eastAsia"/>
        </w:rPr>
        <w:t>一、保障体系更加完善</w:t>
      </w:r>
      <w:bookmarkEnd w:id="13"/>
    </w:p>
    <w:p>
      <w:pPr>
        <w:widowControl/>
        <w:ind w:firstLine="640" w:firstLineChars="200"/>
        <w:rPr>
          <w:sz w:val="32"/>
          <w:szCs w:val="32"/>
        </w:rPr>
      </w:pPr>
      <w:r>
        <w:rPr>
          <w:rFonts w:hint="eastAsia"/>
          <w:sz w:val="32"/>
          <w:szCs w:val="32"/>
        </w:rPr>
        <w:t>多层次医疗保障体系更加健全，职工医保与城乡居民医保参保转换机制更加完善，实现职工医保与城乡居民医保参保无缝对接。高血压、糖尿病等“两病”门诊用药保障机制更加完善，职工医保门诊共济保障制度改革全面推开，普通门诊政策范围内合规医疗费用报销比例不低于50%。探索长期护理保险试点。推动建立政府主导，税务、医保等部门协同、乡镇联动的参保责任落实机制，将基本医保参保纳入乡镇（街道）目标责任制考核，确保基本医保参保率稳定在96%以上，漏保、断保、重复参保和重复享受医保待遇问题明显减少。重点救助对象基本医保参保率达到1</w:t>
      </w:r>
      <w:r>
        <w:rPr>
          <w:sz w:val="32"/>
          <w:szCs w:val="32"/>
        </w:rPr>
        <w:t>00</w:t>
      </w:r>
      <w:r>
        <w:rPr>
          <w:rFonts w:hint="eastAsia"/>
          <w:sz w:val="32"/>
          <w:szCs w:val="32"/>
        </w:rPr>
        <w:t>%。</w:t>
      </w:r>
    </w:p>
    <w:p>
      <w:pPr>
        <w:pStyle w:val="5"/>
        <w:spacing w:line="415" w:lineRule="auto"/>
        <w:ind w:firstLine="643" w:firstLineChars="200"/>
      </w:pPr>
      <w:bookmarkStart w:id="14" w:name="_Toc110200789"/>
      <w:r>
        <w:rPr>
          <w:rFonts w:hint="eastAsia"/>
        </w:rPr>
        <w:t>二、待遇保障公平适度</w:t>
      </w:r>
      <w:bookmarkEnd w:id="14"/>
    </w:p>
    <w:p>
      <w:pPr>
        <w:widowControl/>
        <w:ind w:firstLine="640" w:firstLineChars="200"/>
        <w:rPr>
          <w:sz w:val="32"/>
          <w:szCs w:val="32"/>
        </w:rPr>
      </w:pPr>
      <w:r>
        <w:rPr>
          <w:rFonts w:hint="eastAsia"/>
          <w:sz w:val="32"/>
          <w:szCs w:val="32"/>
        </w:rPr>
        <w:t>建立健全与经济发展水平相适应、与筹资水平相协调的医疗保障待遇调整机制，稳步提高医疗保障待遇水平。全面落实基本医疗保障待遇清单制度，促进基本医疗保障待遇普惠公平。职工医保和城乡居民医保筹资水平和待遇保障水平差距逐步缩小。稳步提高职工和居民大病保障待遇水平，提升重特大疾病保障能力。重点救助对象基本医疗保险、大病保险和医疗救助“三重保障”协调发展，筑牢兜底保障，促进底线公平。重大疫情保障机制全面建立。</w:t>
      </w:r>
    </w:p>
    <w:p>
      <w:pPr>
        <w:pStyle w:val="5"/>
        <w:spacing w:line="415" w:lineRule="auto"/>
        <w:ind w:firstLine="643" w:firstLineChars="200"/>
      </w:pPr>
      <w:bookmarkStart w:id="15" w:name="_Toc110200790"/>
      <w:r>
        <w:rPr>
          <w:rFonts w:hint="eastAsia"/>
        </w:rPr>
        <w:t>三、医保服务优质便捷</w:t>
      </w:r>
      <w:bookmarkEnd w:id="15"/>
    </w:p>
    <w:p>
      <w:pPr>
        <w:widowControl/>
        <w:ind w:firstLine="640" w:firstLineChars="200"/>
      </w:pPr>
      <w:r>
        <w:rPr>
          <w:rFonts w:hint="eastAsia"/>
          <w:sz w:val="32"/>
          <w:szCs w:val="32"/>
        </w:rPr>
        <w:t>医保经办服务网络更加完善。定点医药机构分布更加合理，群众就医购药更加便捷。医保信息化水平显著提升，医保电子凭证普及率和使用率明显提高。基本医保“线上服务”和“线下服务”、“掌上办”和“码上办”全面推开。异地就医备案程序更加便捷，“一站式”结算更加高效。</w:t>
      </w:r>
    </w:p>
    <w:p>
      <w:pPr>
        <w:pStyle w:val="5"/>
        <w:spacing w:line="415" w:lineRule="auto"/>
        <w:ind w:firstLine="643" w:firstLineChars="200"/>
      </w:pPr>
      <w:bookmarkStart w:id="16" w:name="_Toc110200791"/>
      <w:r>
        <w:rPr>
          <w:rFonts w:hint="eastAsia"/>
        </w:rPr>
        <w:t>四、基金监管严密有效</w:t>
      </w:r>
      <w:bookmarkEnd w:id="16"/>
    </w:p>
    <w:p>
      <w:pPr>
        <w:widowControl/>
        <w:ind w:firstLine="640" w:firstLineChars="200"/>
        <w:rPr>
          <w:sz w:val="32"/>
          <w:szCs w:val="32"/>
        </w:rPr>
      </w:pPr>
      <w:r>
        <w:rPr>
          <w:rFonts w:hint="eastAsia"/>
          <w:sz w:val="32"/>
          <w:szCs w:val="32"/>
        </w:rPr>
        <w:t>医保基金监管体系和执法体系更加健全，监管能力明显提高，监管队伍专业化、执法程序标准化、执法过程公开化水平明显提升。单位自查、现场检查、重点抽查相结合的监督检查制度成熟定型。全面实施行业自律、单位内控、协议管理、信用监管、智能监控和社会监督相结合的医保基金监管方式。医保基金监管宣传月和政策宣传月活动有序开展，积极发动群众监督，不敢骗、不能骗、不想骗的医保基金监管氛围初步形成，医保基金使用效率明显提高。</w:t>
      </w:r>
    </w:p>
    <w:p>
      <w:pPr>
        <w:pStyle w:val="5"/>
        <w:spacing w:line="415" w:lineRule="auto"/>
        <w:ind w:firstLine="643" w:firstLineChars="200"/>
      </w:pPr>
      <w:bookmarkStart w:id="17" w:name="_Toc110200792"/>
      <w:r>
        <w:rPr>
          <w:rFonts w:hint="eastAsia"/>
        </w:rPr>
        <w:t>五、医保治理协同高效</w:t>
      </w:r>
      <w:bookmarkEnd w:id="17"/>
    </w:p>
    <w:p>
      <w:pPr>
        <w:widowControl/>
        <w:ind w:firstLine="640" w:firstLineChars="200"/>
        <w:rPr>
          <w:color w:val="FF0000"/>
          <w:sz w:val="32"/>
          <w:szCs w:val="32"/>
        </w:rPr>
      </w:pPr>
      <w:r>
        <w:rPr>
          <w:rFonts w:hint="eastAsia"/>
          <w:sz w:val="32"/>
          <w:szCs w:val="32"/>
        </w:rPr>
        <w:t>医疗保障与医药服务协同发展。医保基金总额预算管理制度更加健全，医保支付方式改革全面推开，医保支付机制更加有效。药品医用耗材集中带量采购改革持续深化，医保基金战略购买作用不断增强。药品耗材加成全面取消，医药服务价格改革有序推进，群众医药费用负担进一步减轻。</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349"/>
        <w:gridCol w:w="1162"/>
        <w:gridCol w:w="218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5"/>
            <w:vAlign w:val="center"/>
          </w:tcPr>
          <w:p>
            <w:pPr>
              <w:pStyle w:val="7"/>
              <w:ind w:left="0" w:leftChars="0"/>
              <w:jc w:val="center"/>
              <w:rPr>
                <w:rFonts w:ascii="仿宋_GB2312" w:hAnsi="仿宋_GB2312" w:eastAsia="仿宋_GB2312" w:cs="仿宋_GB2312"/>
                <w:szCs w:val="21"/>
              </w:rPr>
            </w:pPr>
            <w:r>
              <w:rPr>
                <w:rFonts w:hint="eastAsia" w:ascii="仿宋_GB2312" w:hAnsi="仿宋_GB2312" w:eastAsia="仿宋_GB2312" w:cs="仿宋_GB2312"/>
                <w:b/>
                <w:szCs w:val="21"/>
              </w:rPr>
              <w:t xml:space="preserve">专栏1 </w:t>
            </w:r>
            <w:r>
              <w:rPr>
                <w:rFonts w:ascii="仿宋_GB2312" w:hAnsi="仿宋_GB2312" w:eastAsia="仿宋_GB2312" w:cs="仿宋_GB2312"/>
                <w:b/>
                <w:szCs w:val="21"/>
              </w:rPr>
              <w:t xml:space="preserve"> </w:t>
            </w:r>
            <w:r>
              <w:rPr>
                <w:rFonts w:hint="eastAsia" w:ascii="仿宋_GB2312" w:hAnsi="仿宋_GB2312" w:eastAsia="仿宋_GB2312" w:cs="仿宋_GB2312"/>
                <w:b/>
                <w:szCs w:val="21"/>
              </w:rPr>
              <w:t>大冶市“十四五”医疗保障发展主要指标与预期目标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w:t>
            </w:r>
          </w:p>
        </w:tc>
        <w:tc>
          <w:tcPr>
            <w:tcW w:w="196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主要指标</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202</w:t>
            </w:r>
            <w:r>
              <w:rPr>
                <w:rFonts w:ascii="仿宋_GB2312" w:hAnsi="仿宋_GB2312" w:eastAsia="仿宋_GB2312" w:cs="仿宋_GB2312"/>
                <w:szCs w:val="21"/>
              </w:rPr>
              <w:t>0</w:t>
            </w:r>
            <w:r>
              <w:rPr>
                <w:rFonts w:hint="eastAsia" w:ascii="仿宋_GB2312" w:hAnsi="仿宋_GB2312" w:eastAsia="仿宋_GB2312" w:cs="仿宋_GB2312"/>
                <w:szCs w:val="21"/>
              </w:rPr>
              <w:t>年</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025</w:t>
            </w:r>
            <w:r>
              <w:rPr>
                <w:rFonts w:hint="eastAsia" w:ascii="仿宋_GB2312" w:hAnsi="仿宋_GB2312" w:eastAsia="仿宋_GB2312" w:cs="仿宋_GB2312"/>
                <w:szCs w:val="21"/>
              </w:rPr>
              <w:t>年</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参保覆盖</w:t>
            </w:r>
          </w:p>
        </w:tc>
        <w:tc>
          <w:tcPr>
            <w:tcW w:w="196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基本医疗保险参保率（%）</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95%以上</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96%以上</w:t>
            </w:r>
            <w:r>
              <w:rPr>
                <w:rFonts w:ascii="仿宋_GB2312" w:hAnsi="仿宋_GB2312" w:eastAsia="仿宋_GB2312" w:cs="仿宋_GB2312"/>
                <w:szCs w:val="21"/>
                <w:vertAlign w:val="superscript"/>
              </w:rPr>
              <w:t>①</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25" w:type="pct"/>
            <w:vMerge w:val="restar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基金安全</w:t>
            </w:r>
          </w:p>
        </w:tc>
        <w:tc>
          <w:tcPr>
            <w:tcW w:w="1965"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基本医疗保险（含生育保险）基金收入（亿元）</w:t>
            </w:r>
          </w:p>
        </w:tc>
        <w:tc>
          <w:tcPr>
            <w:tcW w:w="682"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10.5亿元</w:t>
            </w:r>
          </w:p>
        </w:tc>
        <w:tc>
          <w:tcPr>
            <w:tcW w:w="1284" w:type="pct"/>
            <w:vAlign w:val="center"/>
          </w:tcPr>
          <w:p>
            <w:pPr>
              <w:snapToGrid w:val="0"/>
              <w:jc w:val="center"/>
              <w:rPr>
                <w:rFonts w:ascii="仿宋_GB2312" w:hAnsi="仿宋_GB2312" w:eastAsia="仿宋_GB2312" w:cs="仿宋_GB2312"/>
                <w:w w:val="80"/>
                <w:szCs w:val="21"/>
              </w:rPr>
            </w:pPr>
            <w:r>
              <w:rPr>
                <w:rFonts w:ascii="仿宋_GB2312" w:hAnsi="仿宋_GB2312" w:eastAsia="仿宋_GB2312" w:cs="仿宋_GB2312"/>
                <w:w w:val="80"/>
                <w:szCs w:val="21"/>
              </w:rPr>
              <w:t>收入规模与经济发展水平、筹资标准调整相适应</w:t>
            </w:r>
          </w:p>
        </w:tc>
        <w:tc>
          <w:tcPr>
            <w:tcW w:w="644"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25" w:type="pct"/>
            <w:vMerge w:val="continue"/>
            <w:vAlign w:val="center"/>
          </w:tcPr>
          <w:p>
            <w:pPr>
              <w:snapToGrid w:val="0"/>
              <w:jc w:val="center"/>
            </w:pPr>
          </w:p>
        </w:tc>
        <w:tc>
          <w:tcPr>
            <w:tcW w:w="1965"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基本医疗保险（含生育保险）基金支出（亿元）</w:t>
            </w:r>
          </w:p>
        </w:tc>
        <w:tc>
          <w:tcPr>
            <w:tcW w:w="682"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8.4亿元</w:t>
            </w:r>
          </w:p>
        </w:tc>
        <w:tc>
          <w:tcPr>
            <w:tcW w:w="1284"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w w:val="80"/>
                <w:szCs w:val="21"/>
              </w:rPr>
              <w:t>支出规模与经济发展水平、群众医疗需求相适应</w:t>
            </w:r>
          </w:p>
        </w:tc>
        <w:tc>
          <w:tcPr>
            <w:tcW w:w="644"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25" w:type="pct"/>
            <w:vMerge w:val="continue"/>
            <w:vAlign w:val="center"/>
          </w:tcPr>
          <w:p>
            <w:pPr>
              <w:snapToGrid w:val="0"/>
              <w:jc w:val="center"/>
              <w:rPr>
                <w:rFonts w:ascii="仿宋_GB2312" w:hAnsi="仿宋_GB2312" w:eastAsia="仿宋_GB2312" w:cs="仿宋_GB2312"/>
                <w:szCs w:val="21"/>
              </w:rPr>
            </w:pPr>
          </w:p>
        </w:tc>
        <w:tc>
          <w:tcPr>
            <w:tcW w:w="196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基本医疗保险（含生育保险）基金累计结余</w:t>
            </w:r>
          </w:p>
        </w:tc>
        <w:tc>
          <w:tcPr>
            <w:tcW w:w="682" w:type="pct"/>
            <w:vAlign w:val="center"/>
          </w:tcPr>
          <w:p>
            <w:pPr>
              <w:snapToGrid w:val="0"/>
              <w:rPr>
                <w:rFonts w:ascii="仿宋_GB2312" w:hAnsi="仿宋_GB2312" w:eastAsia="仿宋_GB2312" w:cs="仿宋_GB2312"/>
                <w:szCs w:val="21"/>
              </w:rPr>
            </w:pPr>
            <w:r>
              <w:rPr>
                <w:rFonts w:ascii="仿宋_GB2312" w:hAnsi="仿宋_GB2312" w:eastAsia="仿宋_GB2312" w:cs="仿宋_GB2312"/>
                <w:szCs w:val="21"/>
              </w:rPr>
              <w:t>14.5亿元</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保持合理水平</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25" w:type="pct"/>
            <w:vMerge w:val="restar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保障水平</w:t>
            </w:r>
          </w:p>
        </w:tc>
        <w:tc>
          <w:tcPr>
            <w:tcW w:w="196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职工医保政策范围内住院费用报销比例（%）</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83.3</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与省局标准持平</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5" w:type="pct"/>
            <w:vMerge w:val="continue"/>
            <w:vAlign w:val="center"/>
          </w:tcPr>
          <w:p>
            <w:pPr>
              <w:snapToGrid w:val="0"/>
              <w:jc w:val="center"/>
              <w:rPr>
                <w:rFonts w:ascii="仿宋_GB2312" w:hAnsi="仿宋_GB2312" w:eastAsia="仿宋_GB2312" w:cs="仿宋_GB2312"/>
                <w:szCs w:val="21"/>
              </w:rPr>
            </w:pPr>
          </w:p>
        </w:tc>
        <w:tc>
          <w:tcPr>
            <w:tcW w:w="1965"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城乡居民医保政策范围内住院费用报销比例（%）</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67.7</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与省局标准持平</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5" w:type="pct"/>
            <w:vMerge w:val="continue"/>
            <w:vAlign w:val="center"/>
          </w:tcPr>
          <w:p>
            <w:pPr>
              <w:snapToGrid w:val="0"/>
              <w:jc w:val="center"/>
            </w:pPr>
          </w:p>
        </w:tc>
        <w:tc>
          <w:tcPr>
            <w:tcW w:w="1965"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重点救助对象政策范围内住院</w:t>
            </w:r>
            <w:r>
              <w:rPr>
                <w:rFonts w:hint="eastAsia" w:ascii="仿宋_GB2312" w:hAnsi="仿宋_GB2312" w:eastAsia="仿宋_GB2312" w:cs="仿宋_GB2312"/>
                <w:szCs w:val="21"/>
              </w:rPr>
              <w:t>费用</w:t>
            </w:r>
            <w:r>
              <w:rPr>
                <w:rFonts w:ascii="仿宋_GB2312" w:hAnsi="仿宋_GB2312" w:eastAsia="仿宋_GB2312" w:cs="仿宋_GB2312"/>
                <w:szCs w:val="21"/>
              </w:rPr>
              <w:t>救助比例（%）</w:t>
            </w:r>
          </w:p>
        </w:tc>
        <w:tc>
          <w:tcPr>
            <w:tcW w:w="682" w:type="pct"/>
            <w:vAlign w:val="center"/>
          </w:tcPr>
          <w:p>
            <w:pPr>
              <w:pStyle w:val="17"/>
              <w:widowControl/>
              <w:spacing w:before="120" w:beforeAutospacing="0" w:after="120" w:afterAutospacing="0" w:line="192" w:lineRule="atLeast"/>
              <w:jc w:val="center"/>
              <w:rPr>
                <w:rFonts w:ascii="仿宋_GB2312" w:hAnsi="仿宋_GB2312" w:eastAsia="仿宋_GB2312" w:cs="仿宋_GB2312"/>
                <w:kern w:val="2"/>
                <w:sz w:val="21"/>
                <w:szCs w:val="21"/>
              </w:rPr>
            </w:pPr>
            <w:r>
              <w:rPr>
                <w:rFonts w:ascii="仿宋_GB2312" w:hAnsi="仿宋_GB2312" w:eastAsia="仿宋_GB2312" w:cs="仿宋_GB2312"/>
                <w:kern w:val="2"/>
                <w:sz w:val="21"/>
                <w:szCs w:val="21"/>
              </w:rPr>
              <w:t>&gt;70</w:t>
            </w:r>
          </w:p>
        </w:tc>
        <w:tc>
          <w:tcPr>
            <w:tcW w:w="1284" w:type="pct"/>
            <w:vAlign w:val="center"/>
          </w:tcPr>
          <w:p>
            <w:pPr>
              <w:pStyle w:val="17"/>
              <w:widowControl/>
              <w:spacing w:before="120" w:beforeAutospacing="0" w:after="120" w:afterAutospacing="0" w:line="192" w:lineRule="atLeast"/>
              <w:jc w:val="center"/>
              <w:rPr>
                <w:rFonts w:ascii="仿宋_GB2312" w:hAnsi="仿宋_GB2312" w:eastAsia="仿宋_GB2312" w:cs="仿宋_GB2312"/>
                <w:kern w:val="2"/>
                <w:sz w:val="21"/>
                <w:szCs w:val="21"/>
              </w:rPr>
            </w:pPr>
            <w:r>
              <w:rPr>
                <w:rFonts w:ascii="仿宋_GB2312" w:hAnsi="仿宋_GB2312" w:eastAsia="仿宋_GB2312" w:cs="仿宋_GB2312"/>
                <w:kern w:val="2"/>
                <w:sz w:val="21"/>
                <w:szCs w:val="21"/>
              </w:rPr>
              <w:t>&gt;70</w:t>
            </w:r>
          </w:p>
        </w:tc>
        <w:tc>
          <w:tcPr>
            <w:tcW w:w="644" w:type="pct"/>
            <w:vAlign w:val="center"/>
          </w:tcPr>
          <w:p>
            <w:pPr>
              <w:pStyle w:val="17"/>
              <w:widowControl/>
              <w:spacing w:before="120" w:beforeAutospacing="0" w:after="120" w:afterAutospacing="0" w:line="192" w:lineRule="atLeast"/>
              <w:jc w:val="center"/>
              <w:rPr>
                <w:rFonts w:ascii="仿宋_GB2312" w:hAnsi="仿宋_GB2312" w:eastAsia="仿宋_GB2312" w:cs="仿宋_GB2312"/>
                <w:kern w:val="2"/>
                <w:sz w:val="21"/>
                <w:szCs w:val="21"/>
              </w:rPr>
            </w:pPr>
            <w:r>
              <w:rPr>
                <w:rFonts w:ascii="仿宋_GB2312" w:hAnsi="仿宋_GB2312" w:eastAsia="仿宋_GB2312" w:cs="仿宋_GB2312"/>
                <w:kern w:val="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精细管理</w:t>
            </w:r>
          </w:p>
        </w:tc>
        <w:tc>
          <w:tcPr>
            <w:tcW w:w="196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Cs w:val="21"/>
              </w:rPr>
            </w:pPr>
            <w:r>
              <w:rPr>
                <w:rFonts w:hint="eastAsia" w:ascii="仿宋_GB2312" w:hAnsi="仿宋_GB2312" w:eastAsia="仿宋_GB2312" w:cs="仿宋_GB2312"/>
                <w:w w:val="90"/>
                <w:szCs w:val="21"/>
              </w:rPr>
              <w:t>实行DIP付费和按病种付费的住院费用占全部住院费用的比例（%）</w:t>
            </w:r>
          </w:p>
        </w:tc>
        <w:tc>
          <w:tcPr>
            <w:tcW w:w="68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r>
              <w:rPr>
                <w:rFonts w:ascii="仿宋_GB2312" w:hAnsi="仿宋_GB2312" w:eastAsia="仿宋_GB2312" w:cs="仿宋_GB2312"/>
                <w:szCs w:val="21"/>
              </w:rPr>
              <w:t>5</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Cs w:val="21"/>
              </w:rPr>
            </w:pPr>
            <w:r>
              <w:rPr>
                <w:rFonts w:hint="eastAsia" w:ascii="仿宋_GB2312" w:hAnsi="仿宋_GB2312" w:eastAsia="仿宋_GB2312" w:cs="仿宋_GB2312"/>
                <w:w w:val="90"/>
                <w:szCs w:val="21"/>
              </w:rPr>
              <w:t>公立医疗机构通过省级集中采购平台采购药品金额占全部采购药品（不含中药饮片）金额的比例（%）</w:t>
            </w:r>
          </w:p>
        </w:tc>
        <w:tc>
          <w:tcPr>
            <w:tcW w:w="68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75</w:t>
            </w:r>
            <w:r>
              <w:rPr>
                <w:rFonts w:hint="eastAsia" w:ascii="仿宋_GB2312" w:hAnsi="仿宋_GB2312" w:eastAsia="仿宋_GB2312" w:cs="仿宋_GB2312"/>
                <w:szCs w:val="21"/>
              </w:rPr>
              <w:t>%左右</w:t>
            </w:r>
          </w:p>
        </w:tc>
        <w:tc>
          <w:tcPr>
            <w:tcW w:w="12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r>
              <w:rPr>
                <w:rFonts w:ascii="仿宋_GB2312" w:hAnsi="仿宋_GB2312" w:eastAsia="仿宋_GB2312" w:cs="仿宋_GB2312"/>
                <w:szCs w:val="21"/>
              </w:rPr>
              <w:t>0</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Cs w:val="21"/>
              </w:rPr>
            </w:pPr>
            <w:r>
              <w:rPr>
                <w:rFonts w:hint="eastAsia" w:ascii="仿宋_GB2312" w:hAnsi="仿宋_GB2312" w:eastAsia="仿宋_GB2312" w:cs="仿宋_GB2312"/>
                <w:w w:val="90"/>
                <w:szCs w:val="21"/>
              </w:rPr>
              <w:t>公立医疗机构通过省级集中采购平台采购高值医用耗材金额占全部采购高值医用耗材金额的比例（%）</w:t>
            </w:r>
          </w:p>
        </w:tc>
        <w:tc>
          <w:tcPr>
            <w:tcW w:w="68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r>
              <w:rPr>
                <w:rFonts w:ascii="仿宋_GB2312" w:hAnsi="仿宋_GB2312" w:eastAsia="仿宋_GB2312" w:cs="仿宋_GB2312"/>
                <w:szCs w:val="21"/>
              </w:rPr>
              <w:t>0</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落实国家和省组织药品集中带量采购品种（个）</w:t>
            </w:r>
          </w:p>
        </w:tc>
        <w:tc>
          <w:tcPr>
            <w:tcW w:w="682"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112</w:t>
            </w:r>
          </w:p>
        </w:tc>
        <w:tc>
          <w:tcPr>
            <w:tcW w:w="128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r>
              <w:rPr>
                <w:rFonts w:ascii="仿宋_GB2312" w:hAnsi="仿宋_GB2312" w:eastAsia="仿宋_GB2312" w:cs="仿宋_GB2312"/>
                <w:szCs w:val="21"/>
              </w:rPr>
              <w:t>00</w:t>
            </w:r>
            <w:r>
              <w:rPr>
                <w:rFonts w:ascii="仿宋_GB2312" w:hAnsi="仿宋_GB2312" w:eastAsia="仿宋_GB2312" w:cs="仿宋_GB2312"/>
                <w:szCs w:val="21"/>
                <w:vertAlign w:val="superscript"/>
              </w:rPr>
              <w:fldChar w:fldCharType="begin"/>
            </w:r>
            <w:r>
              <w:rPr>
                <w:rFonts w:ascii="仿宋_GB2312" w:hAnsi="仿宋_GB2312" w:eastAsia="仿宋_GB2312" w:cs="仿宋_GB2312"/>
                <w:szCs w:val="21"/>
                <w:vertAlign w:val="superscript"/>
              </w:rPr>
              <w:instrText xml:space="preserve"> </w:instrText>
            </w:r>
            <w:r>
              <w:rPr>
                <w:rFonts w:hint="eastAsia" w:ascii="仿宋_GB2312" w:hAnsi="仿宋_GB2312" w:eastAsia="仿宋_GB2312" w:cs="仿宋_GB2312"/>
                <w:szCs w:val="21"/>
                <w:vertAlign w:val="superscript"/>
              </w:rPr>
              <w:instrText xml:space="preserve">= 2 \* GB3</w:instrText>
            </w:r>
            <w:r>
              <w:rPr>
                <w:rFonts w:ascii="仿宋_GB2312" w:hAnsi="仿宋_GB2312" w:eastAsia="仿宋_GB2312" w:cs="仿宋_GB2312"/>
                <w:szCs w:val="21"/>
                <w:vertAlign w:val="superscript"/>
              </w:rPr>
              <w:instrText xml:space="preserve"> </w:instrText>
            </w:r>
            <w:r>
              <w:rPr>
                <w:rFonts w:ascii="仿宋_GB2312" w:hAnsi="仿宋_GB2312" w:eastAsia="仿宋_GB2312" w:cs="仿宋_GB2312"/>
                <w:szCs w:val="21"/>
                <w:vertAlign w:val="superscript"/>
              </w:rPr>
              <w:fldChar w:fldCharType="separate"/>
            </w:r>
            <w:r>
              <w:rPr>
                <w:rFonts w:hint="eastAsia" w:ascii="仿宋_GB2312" w:hAnsi="仿宋_GB2312" w:eastAsia="仿宋_GB2312" w:cs="仿宋_GB2312"/>
                <w:szCs w:val="21"/>
                <w:vertAlign w:val="superscript"/>
              </w:rPr>
              <w:t>②</w:t>
            </w:r>
            <w:r>
              <w:rPr>
                <w:rFonts w:ascii="仿宋_GB2312" w:hAnsi="仿宋_GB2312" w:eastAsia="仿宋_GB2312" w:cs="仿宋_GB2312"/>
                <w:szCs w:val="21"/>
                <w:vertAlign w:val="superscript"/>
              </w:rPr>
              <w:fldChar w:fldCharType="end"/>
            </w:r>
          </w:p>
        </w:tc>
        <w:tc>
          <w:tcPr>
            <w:tcW w:w="64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落实国家和省组织高值医用耗材集中带量采购品种（个）</w:t>
            </w:r>
          </w:p>
        </w:tc>
        <w:tc>
          <w:tcPr>
            <w:tcW w:w="68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ascii="仿宋_GB2312" w:hAnsi="仿宋_GB2312" w:eastAsia="仿宋_GB2312" w:cs="仿宋_GB2312"/>
                <w:szCs w:val="21"/>
                <w:vertAlign w:val="superscript"/>
              </w:rPr>
              <w:fldChar w:fldCharType="begin"/>
            </w:r>
            <w:r>
              <w:rPr>
                <w:rFonts w:ascii="仿宋_GB2312" w:hAnsi="仿宋_GB2312" w:eastAsia="仿宋_GB2312" w:cs="仿宋_GB2312"/>
                <w:szCs w:val="21"/>
                <w:vertAlign w:val="superscript"/>
              </w:rPr>
              <w:instrText xml:space="preserve"> </w:instrText>
            </w:r>
            <w:r>
              <w:rPr>
                <w:rFonts w:hint="eastAsia" w:ascii="仿宋_GB2312" w:hAnsi="仿宋_GB2312" w:eastAsia="仿宋_GB2312" w:cs="仿宋_GB2312"/>
                <w:szCs w:val="21"/>
                <w:vertAlign w:val="superscript"/>
              </w:rPr>
              <w:instrText xml:space="preserve">= 3 \* GB3</w:instrText>
            </w:r>
            <w:r>
              <w:rPr>
                <w:rFonts w:ascii="仿宋_GB2312" w:hAnsi="仿宋_GB2312" w:eastAsia="仿宋_GB2312" w:cs="仿宋_GB2312"/>
                <w:szCs w:val="21"/>
                <w:vertAlign w:val="superscript"/>
              </w:rPr>
              <w:instrText xml:space="preserve"> </w:instrText>
            </w:r>
            <w:r>
              <w:rPr>
                <w:rFonts w:ascii="仿宋_GB2312" w:hAnsi="仿宋_GB2312" w:eastAsia="仿宋_GB2312" w:cs="仿宋_GB2312"/>
                <w:szCs w:val="21"/>
                <w:vertAlign w:val="superscript"/>
              </w:rPr>
              <w:fldChar w:fldCharType="separate"/>
            </w:r>
            <w:r>
              <w:rPr>
                <w:rFonts w:hint="eastAsia" w:ascii="仿宋_GB2312" w:hAnsi="仿宋_GB2312" w:eastAsia="仿宋_GB2312" w:cs="仿宋_GB2312"/>
                <w:szCs w:val="21"/>
                <w:vertAlign w:val="superscript"/>
              </w:rPr>
              <w:t>③</w:t>
            </w:r>
            <w:r>
              <w:rPr>
                <w:rFonts w:ascii="仿宋_GB2312" w:hAnsi="仿宋_GB2312" w:eastAsia="仿宋_GB2312" w:cs="仿宋_GB2312"/>
                <w:szCs w:val="21"/>
                <w:vertAlign w:val="superscript"/>
              </w:rPr>
              <w:fldChar w:fldCharType="end"/>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25" w:type="pct"/>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优质服务</w:t>
            </w:r>
          </w:p>
        </w:tc>
        <w:tc>
          <w:tcPr>
            <w:tcW w:w="1965"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w w:val="90"/>
                <w:szCs w:val="21"/>
              </w:rPr>
              <w:t>医保经办服务事项线上可办率（%）</w:t>
            </w:r>
          </w:p>
        </w:tc>
        <w:tc>
          <w:tcPr>
            <w:tcW w:w="682"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00</w:t>
            </w:r>
            <w:r>
              <w:rPr>
                <w:rFonts w:hint="eastAsia" w:ascii="仿宋_GB2312" w:hAnsi="仿宋_GB2312" w:eastAsia="仿宋_GB2312" w:cs="仿宋_GB2312"/>
                <w:szCs w:val="21"/>
              </w:rPr>
              <w:t>%</w:t>
            </w:r>
          </w:p>
        </w:tc>
        <w:tc>
          <w:tcPr>
            <w:tcW w:w="64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left w:val="single" w:color="auto" w:sz="4" w:space="0"/>
            </w:tcBorders>
            <w:vAlign w:val="center"/>
          </w:tcPr>
          <w:p>
            <w:pPr>
              <w:snapToGrid w:val="0"/>
              <w:jc w:val="center"/>
              <w:rPr>
                <w:rFonts w:ascii="仿宋_GB2312" w:hAnsi="仿宋_GB2312" w:eastAsia="仿宋_GB2312" w:cs="仿宋_GB2312"/>
                <w:w w:val="90"/>
                <w:szCs w:val="21"/>
              </w:rPr>
            </w:pPr>
            <w:r>
              <w:rPr>
                <w:rFonts w:hint="eastAsia" w:ascii="仿宋_GB2312" w:hAnsi="仿宋_GB2312" w:eastAsia="仿宋_GB2312" w:cs="仿宋_GB2312"/>
                <w:w w:val="90"/>
                <w:szCs w:val="21"/>
              </w:rPr>
              <w:t>医保经办服务事项窗口可办率（%）</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00</w:t>
            </w:r>
            <w:r>
              <w:rPr>
                <w:rFonts w:hint="eastAsia" w:ascii="仿宋_GB2312" w:hAnsi="仿宋_GB2312" w:eastAsia="仿宋_GB2312" w:cs="仿宋_GB2312"/>
                <w:szCs w:val="21"/>
              </w:rPr>
              <w:t>%</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left w:val="single" w:color="auto" w:sz="4" w:space="0"/>
            </w:tcBorders>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w w:val="90"/>
                <w:szCs w:val="21"/>
                <w:lang w:bidi="ar"/>
              </w:rPr>
              <w:t>住院费用跨省直接结算</w:t>
            </w:r>
            <w:r>
              <w:rPr>
                <w:rFonts w:ascii="仿宋_GB2312" w:hAnsi="仿宋_GB2312" w:eastAsia="仿宋_GB2312" w:cs="仿宋_GB2312"/>
                <w:w w:val="90"/>
                <w:szCs w:val="21"/>
              </w:rPr>
              <w:t>率</w:t>
            </w:r>
            <w:r>
              <w:rPr>
                <w:rFonts w:ascii="仿宋_GB2312" w:hAnsi="仿宋_GB2312" w:eastAsia="仿宋_GB2312" w:cs="仿宋_GB2312"/>
                <w:w w:val="90"/>
                <w:szCs w:val="21"/>
                <w:vertAlign w:val="superscript"/>
              </w:rPr>
              <w:fldChar w:fldCharType="begin"/>
            </w:r>
            <w:r>
              <w:rPr>
                <w:rFonts w:ascii="仿宋_GB2312" w:hAnsi="仿宋_GB2312" w:eastAsia="仿宋_GB2312" w:cs="仿宋_GB2312"/>
                <w:w w:val="90"/>
                <w:szCs w:val="21"/>
                <w:vertAlign w:val="superscript"/>
              </w:rPr>
              <w:instrText xml:space="preserve"> </w:instrText>
            </w:r>
            <w:r>
              <w:rPr>
                <w:rFonts w:hint="eastAsia" w:ascii="仿宋_GB2312" w:hAnsi="仿宋_GB2312" w:eastAsia="仿宋_GB2312" w:cs="仿宋_GB2312"/>
                <w:w w:val="90"/>
                <w:szCs w:val="21"/>
                <w:vertAlign w:val="superscript"/>
              </w:rPr>
              <w:instrText xml:space="preserve">= 4 \* GB3</w:instrText>
            </w:r>
            <w:r>
              <w:rPr>
                <w:rFonts w:ascii="仿宋_GB2312" w:hAnsi="仿宋_GB2312" w:eastAsia="仿宋_GB2312" w:cs="仿宋_GB2312"/>
                <w:w w:val="90"/>
                <w:szCs w:val="21"/>
                <w:vertAlign w:val="superscript"/>
              </w:rPr>
              <w:instrText xml:space="preserve"> </w:instrText>
            </w:r>
            <w:r>
              <w:rPr>
                <w:rFonts w:ascii="仿宋_GB2312" w:hAnsi="仿宋_GB2312" w:eastAsia="仿宋_GB2312" w:cs="仿宋_GB2312"/>
                <w:w w:val="90"/>
                <w:szCs w:val="21"/>
                <w:vertAlign w:val="superscript"/>
              </w:rPr>
              <w:fldChar w:fldCharType="separate"/>
            </w:r>
            <w:r>
              <w:rPr>
                <w:rFonts w:hint="eastAsia" w:ascii="仿宋_GB2312" w:hAnsi="仿宋_GB2312" w:eastAsia="仿宋_GB2312" w:cs="仿宋_GB2312"/>
                <w:w w:val="90"/>
                <w:szCs w:val="21"/>
                <w:vertAlign w:val="superscript"/>
              </w:rPr>
              <w:t>④</w:t>
            </w:r>
            <w:r>
              <w:rPr>
                <w:rFonts w:ascii="仿宋_GB2312" w:hAnsi="仿宋_GB2312" w:eastAsia="仿宋_GB2312" w:cs="仿宋_GB2312"/>
                <w:w w:val="90"/>
                <w:szCs w:val="21"/>
                <w:vertAlign w:val="superscript"/>
              </w:rPr>
              <w:fldChar w:fldCharType="end"/>
            </w:r>
            <w:r>
              <w:rPr>
                <w:rFonts w:hint="eastAsia" w:ascii="仿宋_GB2312" w:hAnsi="仿宋_GB2312" w:eastAsia="仿宋_GB2312" w:cs="仿宋_GB2312"/>
                <w:szCs w:val="21"/>
              </w:rPr>
              <w:t>（%）</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90</w:t>
            </w:r>
            <w:r>
              <w:rPr>
                <w:rFonts w:hint="eastAsia" w:ascii="仿宋_GB2312" w:hAnsi="仿宋_GB2312" w:eastAsia="仿宋_GB2312" w:cs="仿宋_GB2312"/>
                <w:szCs w:val="21"/>
              </w:rPr>
              <w:t>%</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5"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p>
        </w:tc>
        <w:tc>
          <w:tcPr>
            <w:tcW w:w="1965" w:type="pct"/>
            <w:tcBorders>
              <w:lef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医疗保障经办服务满意率（%）</w:t>
            </w:r>
          </w:p>
        </w:tc>
        <w:tc>
          <w:tcPr>
            <w:tcW w:w="682"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r>
              <w:rPr>
                <w:rFonts w:ascii="仿宋_GB2312" w:hAnsi="仿宋_GB2312" w:eastAsia="仿宋_GB2312" w:cs="仿宋_GB2312"/>
                <w:szCs w:val="21"/>
              </w:rPr>
              <w:t>6</w:t>
            </w:r>
            <w:r>
              <w:rPr>
                <w:rFonts w:hint="eastAsia" w:ascii="仿宋_GB2312" w:hAnsi="仿宋_GB2312" w:eastAsia="仿宋_GB2312" w:cs="仿宋_GB2312"/>
                <w:szCs w:val="21"/>
              </w:rPr>
              <w:t>%</w:t>
            </w:r>
          </w:p>
        </w:tc>
        <w:tc>
          <w:tcPr>
            <w:tcW w:w="644" w:type="pct"/>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预期性</w:t>
            </w:r>
          </w:p>
        </w:tc>
      </w:tr>
    </w:tbl>
    <w:p>
      <w:pPr>
        <w:widowControl/>
        <w:jc w:val="left"/>
        <w:rPr>
          <w:rFonts w:ascii="楷体" w:hAnsi="楷体" w:eastAsia="楷体" w:cs="楷体"/>
          <w:kern w:val="0"/>
          <w:sz w:val="19"/>
          <w:szCs w:val="19"/>
          <w:lang w:bidi="ar"/>
        </w:rPr>
      </w:pPr>
      <w:r>
        <w:rPr>
          <w:rFonts w:ascii="楷体" w:hAnsi="楷体" w:eastAsia="楷体" w:cs="楷体"/>
          <w:kern w:val="0"/>
          <w:sz w:val="19"/>
          <w:szCs w:val="19"/>
          <w:lang w:bidi="ar"/>
        </w:rPr>
        <w:t>注：①指“十四五”期间基本医疗保险</w:t>
      </w:r>
      <w:r>
        <w:rPr>
          <w:rFonts w:hint="eastAsia" w:ascii="楷体" w:hAnsi="楷体" w:eastAsia="楷体" w:cs="楷体"/>
          <w:kern w:val="0"/>
          <w:sz w:val="19"/>
          <w:szCs w:val="19"/>
          <w:lang w:bidi="ar"/>
        </w:rPr>
        <w:t>年均</w:t>
      </w:r>
      <w:r>
        <w:rPr>
          <w:rFonts w:ascii="楷体" w:hAnsi="楷体" w:eastAsia="楷体" w:cs="楷体"/>
          <w:kern w:val="0"/>
          <w:sz w:val="19"/>
          <w:szCs w:val="19"/>
          <w:lang w:bidi="ar"/>
        </w:rPr>
        <w:t>参保率保持在9</w:t>
      </w:r>
      <w:r>
        <w:rPr>
          <w:rFonts w:hint="eastAsia" w:ascii="楷体" w:hAnsi="楷体" w:eastAsia="楷体" w:cs="楷体"/>
          <w:kern w:val="0"/>
          <w:sz w:val="19"/>
          <w:szCs w:val="19"/>
          <w:lang w:bidi="ar"/>
        </w:rPr>
        <w:t>6</w:t>
      </w:r>
      <w:r>
        <w:rPr>
          <w:rFonts w:ascii="楷体" w:hAnsi="楷体" w:eastAsia="楷体" w:cs="楷体"/>
          <w:kern w:val="0"/>
          <w:sz w:val="19"/>
          <w:szCs w:val="19"/>
          <w:lang w:bidi="ar"/>
        </w:rPr>
        <w:t>%以上。</w:t>
      </w:r>
    </w:p>
    <w:p>
      <w:pPr>
        <w:widowControl/>
        <w:ind w:firstLine="380" w:firstLineChars="200"/>
        <w:jc w:val="left"/>
        <w:rPr>
          <w:rFonts w:ascii="楷体" w:hAnsi="楷体" w:eastAsia="楷体" w:cs="楷体"/>
          <w:kern w:val="0"/>
          <w:sz w:val="19"/>
          <w:szCs w:val="19"/>
          <w:lang w:bidi="ar"/>
        </w:rPr>
      </w:pPr>
      <w:r>
        <w:rPr>
          <w:rFonts w:hint="eastAsia" w:ascii="楷体" w:hAnsi="楷体" w:eastAsia="楷体" w:cs="楷体"/>
          <w:kern w:val="0"/>
          <w:sz w:val="19"/>
          <w:szCs w:val="19"/>
          <w:lang w:bidi="ar"/>
        </w:rPr>
        <w:t>②指到2</w:t>
      </w:r>
      <w:r>
        <w:rPr>
          <w:rFonts w:ascii="楷体" w:hAnsi="楷体" w:eastAsia="楷体" w:cs="楷体"/>
          <w:kern w:val="0"/>
          <w:sz w:val="19"/>
          <w:szCs w:val="19"/>
          <w:lang w:bidi="ar"/>
        </w:rPr>
        <w:t>025</w:t>
      </w:r>
      <w:r>
        <w:rPr>
          <w:rFonts w:hint="eastAsia" w:ascii="楷体" w:hAnsi="楷体" w:eastAsia="楷体" w:cs="楷体"/>
          <w:kern w:val="0"/>
          <w:sz w:val="19"/>
          <w:szCs w:val="19"/>
          <w:lang w:bidi="ar"/>
        </w:rPr>
        <w:t>年落实国家和省药品集中带量采购品种达</w:t>
      </w:r>
      <w:r>
        <w:rPr>
          <w:rFonts w:ascii="楷体" w:hAnsi="楷体" w:eastAsia="楷体" w:cs="楷体"/>
          <w:kern w:val="0"/>
          <w:sz w:val="19"/>
          <w:szCs w:val="19"/>
          <w:lang w:bidi="ar"/>
        </w:rPr>
        <w:t>500</w:t>
      </w:r>
      <w:r>
        <w:rPr>
          <w:rFonts w:hint="eastAsia" w:ascii="楷体" w:hAnsi="楷体" w:eastAsia="楷体" w:cs="楷体"/>
          <w:kern w:val="0"/>
          <w:sz w:val="19"/>
          <w:szCs w:val="19"/>
          <w:lang w:bidi="ar"/>
        </w:rPr>
        <w:t>个以上。</w:t>
      </w:r>
    </w:p>
    <w:p>
      <w:pPr>
        <w:widowControl/>
        <w:ind w:firstLine="380" w:firstLineChars="200"/>
        <w:jc w:val="left"/>
        <w:rPr>
          <w:rFonts w:ascii="楷体" w:hAnsi="楷体" w:eastAsia="楷体" w:cs="楷体"/>
          <w:kern w:val="0"/>
          <w:sz w:val="19"/>
          <w:szCs w:val="19"/>
          <w:lang w:bidi="ar"/>
        </w:rPr>
      </w:pPr>
      <w:r>
        <w:rPr>
          <w:rFonts w:ascii="楷体" w:hAnsi="楷体" w:eastAsia="楷体" w:cs="楷体"/>
          <w:kern w:val="0"/>
          <w:sz w:val="19"/>
          <w:szCs w:val="19"/>
          <w:lang w:bidi="ar"/>
        </w:rPr>
        <w:fldChar w:fldCharType="begin"/>
      </w:r>
      <w:r>
        <w:rPr>
          <w:rFonts w:ascii="楷体" w:hAnsi="楷体" w:eastAsia="楷体" w:cs="楷体"/>
          <w:kern w:val="0"/>
          <w:sz w:val="19"/>
          <w:szCs w:val="19"/>
          <w:lang w:bidi="ar"/>
        </w:rPr>
        <w:instrText xml:space="preserve"> </w:instrText>
      </w:r>
      <w:r>
        <w:rPr>
          <w:rFonts w:hint="eastAsia" w:ascii="楷体" w:hAnsi="楷体" w:eastAsia="楷体" w:cs="楷体"/>
          <w:kern w:val="0"/>
          <w:sz w:val="19"/>
          <w:szCs w:val="19"/>
          <w:lang w:bidi="ar"/>
        </w:rPr>
        <w:instrText xml:space="preserve">= 3 \* GB3</w:instrText>
      </w:r>
      <w:r>
        <w:rPr>
          <w:rFonts w:ascii="楷体" w:hAnsi="楷体" w:eastAsia="楷体" w:cs="楷体"/>
          <w:kern w:val="0"/>
          <w:sz w:val="19"/>
          <w:szCs w:val="19"/>
          <w:lang w:bidi="ar"/>
        </w:rPr>
        <w:instrText xml:space="preserve"> </w:instrText>
      </w:r>
      <w:r>
        <w:rPr>
          <w:rFonts w:ascii="楷体" w:hAnsi="楷体" w:eastAsia="楷体" w:cs="楷体"/>
          <w:kern w:val="0"/>
          <w:sz w:val="19"/>
          <w:szCs w:val="19"/>
          <w:lang w:bidi="ar"/>
        </w:rPr>
        <w:fldChar w:fldCharType="separate"/>
      </w:r>
      <w:r>
        <w:rPr>
          <w:rFonts w:hint="eastAsia" w:ascii="楷体" w:hAnsi="楷体" w:eastAsia="楷体" w:cs="楷体"/>
          <w:kern w:val="0"/>
          <w:sz w:val="19"/>
          <w:szCs w:val="19"/>
          <w:lang w:bidi="ar"/>
        </w:rPr>
        <w:t>③</w:t>
      </w:r>
      <w:r>
        <w:rPr>
          <w:rFonts w:ascii="楷体" w:hAnsi="楷体" w:eastAsia="楷体" w:cs="楷体"/>
          <w:kern w:val="0"/>
          <w:sz w:val="19"/>
          <w:szCs w:val="19"/>
          <w:lang w:bidi="ar"/>
        </w:rPr>
        <w:fldChar w:fldCharType="end"/>
      </w:r>
      <w:r>
        <w:rPr>
          <w:rFonts w:hint="eastAsia" w:ascii="楷体" w:hAnsi="楷体" w:eastAsia="楷体" w:cs="楷体"/>
          <w:kern w:val="0"/>
          <w:sz w:val="19"/>
          <w:szCs w:val="19"/>
          <w:lang w:bidi="ar"/>
        </w:rPr>
        <w:t>指到2</w:t>
      </w:r>
      <w:r>
        <w:rPr>
          <w:rFonts w:ascii="楷体" w:hAnsi="楷体" w:eastAsia="楷体" w:cs="楷体"/>
          <w:kern w:val="0"/>
          <w:sz w:val="19"/>
          <w:szCs w:val="19"/>
          <w:lang w:bidi="ar"/>
        </w:rPr>
        <w:t>025</w:t>
      </w:r>
      <w:r>
        <w:rPr>
          <w:rFonts w:hint="eastAsia" w:ascii="楷体" w:hAnsi="楷体" w:eastAsia="楷体" w:cs="楷体"/>
          <w:kern w:val="0"/>
          <w:sz w:val="19"/>
          <w:szCs w:val="19"/>
          <w:lang w:bidi="ar"/>
        </w:rPr>
        <w:t>年落实国家和省高值医用耗材集中带量采购品种达到5类以上。</w:t>
      </w:r>
    </w:p>
    <w:p>
      <w:pPr>
        <w:widowControl/>
        <w:ind w:firstLine="380" w:firstLineChars="200"/>
        <w:jc w:val="left"/>
        <w:rPr>
          <w:rFonts w:ascii="楷体" w:hAnsi="楷体" w:eastAsia="楷体" w:cs="楷体"/>
          <w:kern w:val="0"/>
          <w:sz w:val="19"/>
          <w:szCs w:val="19"/>
          <w:lang w:bidi="ar"/>
        </w:rPr>
      </w:pPr>
      <w:r>
        <w:rPr>
          <w:rFonts w:hint="eastAsia" w:ascii="楷体" w:hAnsi="楷体" w:eastAsia="楷体" w:cs="楷体"/>
          <w:kern w:val="0"/>
          <w:sz w:val="19"/>
          <w:szCs w:val="19"/>
          <w:lang w:bidi="ar"/>
        </w:rPr>
        <w:t>④指住院费用跨省直接结算人次占全部住院跨省异地就医人次的比例。</w:t>
      </w:r>
    </w:p>
    <w:p>
      <w:pPr>
        <w:pStyle w:val="3"/>
        <w:jc w:val="center"/>
      </w:pPr>
      <w:bookmarkStart w:id="18" w:name="_Toc110200793"/>
      <w:r>
        <w:rPr>
          <w:rFonts w:hint="eastAsia"/>
        </w:rPr>
        <w:t xml:space="preserve">第三章 </w:t>
      </w:r>
      <w:r>
        <w:t xml:space="preserve"> </w:t>
      </w:r>
      <w:r>
        <w:rPr>
          <w:rFonts w:hint="eastAsia"/>
        </w:rPr>
        <w:t>重点任务</w:t>
      </w:r>
      <w:bookmarkEnd w:id="18"/>
    </w:p>
    <w:p>
      <w:pPr>
        <w:pStyle w:val="4"/>
        <w:jc w:val="center"/>
      </w:pPr>
      <w:bookmarkStart w:id="19" w:name="_Toc110200794"/>
      <w:r>
        <w:rPr>
          <w:rFonts w:hint="eastAsia"/>
        </w:rPr>
        <w:t xml:space="preserve">第一节 </w:t>
      </w:r>
      <w:r>
        <w:t xml:space="preserve"> </w:t>
      </w:r>
      <w:r>
        <w:rPr>
          <w:rFonts w:hint="eastAsia"/>
        </w:rPr>
        <w:t>健全多层次医疗保障体系</w:t>
      </w:r>
      <w:bookmarkEnd w:id="19"/>
    </w:p>
    <w:p>
      <w:pPr>
        <w:pStyle w:val="5"/>
        <w:spacing w:line="415" w:lineRule="auto"/>
        <w:ind w:firstLine="643" w:firstLineChars="200"/>
      </w:pPr>
      <w:bookmarkStart w:id="20" w:name="_Toc110200795"/>
      <w:r>
        <w:rPr>
          <w:rFonts w:hint="eastAsia"/>
        </w:rPr>
        <w:t>一、健全基本医保制度</w:t>
      </w:r>
      <w:bookmarkEnd w:id="20"/>
    </w:p>
    <w:p>
      <w:pPr>
        <w:widowControl/>
        <w:ind w:firstLine="640" w:firstLineChars="200"/>
        <w:rPr>
          <w:sz w:val="32"/>
          <w:szCs w:val="32"/>
        </w:rPr>
      </w:pPr>
      <w:r>
        <w:rPr>
          <w:rFonts w:hint="eastAsia"/>
          <w:sz w:val="32"/>
          <w:szCs w:val="32"/>
        </w:rPr>
        <w:t>建立医保部门与相关部门的信息共享和比对机制，加强新业态灵活就业人员参保工作，确保应保尽保。做好生育保险与生育政策衔接，扩大生育保险覆盖面。职工医保和城乡居民医保分别筹资、分类保障，不断优化筹资结构和参保缴费办法。严格落实基本医疗保障待遇清单制度，明确基本医疗保障待遇支付边界。建立健全“两病”和特殊慢性病门诊共济保障机制，扩大门诊保障范围，做好门诊与住院待遇、普通门诊与特殊门诊待遇衔接。改革职工医保个人账户，扩大个人账户使用范围，实施个人账户家庭共济。</w:t>
      </w:r>
    </w:p>
    <w:tbl>
      <w:tblPr>
        <w:tblStyle w:val="1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ind w:left="528" w:firstLine="0" w:firstLineChars="0"/>
              <w:rPr>
                <w:rFonts w:ascii="华文楷体" w:hAnsi="华文楷体" w:eastAsia="华文楷体"/>
                <w:szCs w:val="21"/>
              </w:rPr>
            </w:pPr>
            <w:r>
              <w:rPr>
                <w:rFonts w:hint="eastAsia"/>
                <w:b/>
                <w:bCs/>
                <w:szCs w:val="21"/>
              </w:rPr>
              <w:t>专栏</w:t>
            </w:r>
            <w:r>
              <w:rPr>
                <w:b/>
                <w:bCs/>
                <w:szCs w:val="21"/>
              </w:rPr>
              <w:t xml:space="preserve">2                  </w:t>
            </w:r>
            <w:r>
              <w:rPr>
                <w:rFonts w:hint="eastAsia"/>
                <w:b/>
                <w:bCs/>
                <w:szCs w:val="21"/>
              </w:rPr>
              <w:t>职工医保门诊共济保障工程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numPr>
                <w:ilvl w:val="0"/>
                <w:numId w:val="1"/>
              </w:numPr>
              <w:ind w:firstLineChars="0"/>
              <w:rPr>
                <w:rFonts w:ascii="华文楷体" w:hAnsi="华文楷体" w:eastAsia="华文楷体"/>
                <w:b/>
                <w:bCs/>
                <w:szCs w:val="21"/>
              </w:rPr>
            </w:pPr>
            <w:r>
              <w:rPr>
                <w:rFonts w:hint="eastAsia" w:ascii="华文楷体" w:hAnsi="华文楷体" w:eastAsia="华文楷体"/>
                <w:bCs/>
                <w:szCs w:val="21"/>
              </w:rPr>
              <w:t>改革职工医保个人账户。按照国家、省和黄石市统一部署，改革职工医保个人账户计入办法，打通医保个人账户支付医院挂号和诊查费用渠道，提高医保基金使用效率。</w:t>
            </w:r>
          </w:p>
          <w:p>
            <w:pPr>
              <w:pStyle w:val="27"/>
              <w:numPr>
                <w:ilvl w:val="0"/>
                <w:numId w:val="1"/>
              </w:numPr>
              <w:ind w:firstLineChars="0"/>
              <w:rPr>
                <w:rFonts w:ascii="华文楷体" w:hAnsi="华文楷体" w:eastAsia="华文楷体"/>
                <w:szCs w:val="21"/>
              </w:rPr>
            </w:pPr>
            <w:r>
              <w:rPr>
                <w:rFonts w:hint="eastAsia" w:ascii="华文楷体" w:hAnsi="华文楷体" w:eastAsia="华文楷体"/>
                <w:szCs w:val="21"/>
              </w:rPr>
              <w:t>规范个人账户使用范围。允许个人账户用于支付参保人本人及其配偶、父母、子女在两定机构购买药品、医疗器械、医用耗材等时个人负担的费用。</w:t>
            </w:r>
          </w:p>
          <w:p>
            <w:pPr>
              <w:pStyle w:val="27"/>
              <w:numPr>
                <w:ilvl w:val="0"/>
                <w:numId w:val="1"/>
              </w:numPr>
              <w:ind w:firstLineChars="0"/>
              <w:rPr>
                <w:rFonts w:ascii="华文楷体" w:hAnsi="华文楷体" w:eastAsia="华文楷体"/>
                <w:b/>
                <w:szCs w:val="21"/>
              </w:rPr>
            </w:pPr>
            <w:r>
              <w:rPr>
                <w:rFonts w:hint="eastAsia" w:ascii="华文楷体" w:hAnsi="华文楷体" w:eastAsia="华文楷体"/>
                <w:bCs/>
                <w:szCs w:val="21"/>
              </w:rPr>
              <w:t>建立职工医保普通门诊共济保障机制。以高血压、糖尿病和特殊疾病保障为基础，逐步扩大门诊慢特病病种保障范围，将部分治疗周期长、对健康损害大、费用负担重的疾病门诊费用纳入共济保障，对部分适合在门诊开展、比住院更经济方便的特殊治疗，参照住院待遇进行管理。</w:t>
            </w:r>
          </w:p>
          <w:p>
            <w:pPr>
              <w:pStyle w:val="27"/>
              <w:numPr>
                <w:ilvl w:val="0"/>
                <w:numId w:val="1"/>
              </w:numPr>
              <w:ind w:firstLineChars="0"/>
              <w:rPr>
                <w:rFonts w:ascii="华文楷体" w:hAnsi="华文楷体" w:eastAsia="华文楷体"/>
                <w:b/>
                <w:szCs w:val="21"/>
              </w:rPr>
            </w:pPr>
            <w:r>
              <w:rPr>
                <w:rFonts w:hint="eastAsia" w:ascii="华文楷体" w:hAnsi="华文楷体" w:eastAsia="华文楷体"/>
                <w:bCs/>
                <w:szCs w:val="21"/>
              </w:rPr>
              <w:t>建立门诊保障医保基金支出风险控制机制。根据门诊医疗服务特点，合理确定起付线和封顶线，普通门诊政策范围内医疗费用报销比例不低于50%，报销比例适当向退休人员倾斜。</w:t>
            </w:r>
          </w:p>
          <w:p>
            <w:pPr>
              <w:pStyle w:val="27"/>
              <w:numPr>
                <w:ilvl w:val="0"/>
                <w:numId w:val="1"/>
              </w:numPr>
              <w:ind w:firstLineChars="0"/>
              <w:rPr>
                <w:rFonts w:ascii="华文楷体" w:hAnsi="华文楷体" w:eastAsia="华文楷体"/>
                <w:b/>
                <w:szCs w:val="21"/>
              </w:rPr>
            </w:pPr>
            <w:r>
              <w:rPr>
                <w:rFonts w:hint="eastAsia" w:ascii="华文楷体" w:hAnsi="华文楷体" w:eastAsia="华文楷体"/>
                <w:bCs/>
                <w:szCs w:val="21"/>
              </w:rPr>
              <w:t>增强定点零售药店保障能力。将符合条件的定点零售药店纳入门诊保障范围，支持外配处方在定点零售药店配药和结算，充分发挥定点零售药店利民、便民、可及的作用。</w:t>
            </w:r>
          </w:p>
        </w:tc>
      </w:tr>
    </w:tbl>
    <w:p>
      <w:pPr>
        <w:pStyle w:val="5"/>
        <w:spacing w:line="415" w:lineRule="auto"/>
        <w:ind w:firstLine="643" w:firstLineChars="200"/>
      </w:pPr>
      <w:bookmarkStart w:id="21" w:name="_Toc110200796"/>
      <w:r>
        <w:rPr>
          <w:rFonts w:hint="eastAsia"/>
        </w:rPr>
        <w:t>二、规范医疗救助制度</w:t>
      </w:r>
      <w:bookmarkEnd w:id="21"/>
    </w:p>
    <w:p>
      <w:pPr>
        <w:widowControl/>
        <w:ind w:firstLine="640" w:firstLineChars="200"/>
        <w:rPr>
          <w:sz w:val="32"/>
          <w:szCs w:val="32"/>
        </w:rPr>
      </w:pPr>
      <w:r>
        <w:rPr>
          <w:rFonts w:hint="eastAsia"/>
          <w:sz w:val="32"/>
          <w:szCs w:val="32"/>
        </w:rPr>
        <w:t>健全重特大疾病医疗保险和医疗救助制度，降低困难群众就医看病成本，加强对困难群众动态监测，防止因病致贫、因病返贫，巩固拓展医疗保障脱贫攻坚成果有效衔接乡村振兴。完善医疗救助对象精准识别和退出机制，加强医疗救助对象的动态管理，确保应救尽救。全面落实困难群众参保分类资助政策，加大医疗救助财政投入，推动医疗救助与乡村振兴的有效衔接。合理确定医疗救助费用支付范围和标准，适当提高年度医疗救助限额，提升困难群众重大疾病综合医疗救助水平。建立健全防范和化解“因病致贫，因病返贫”长效机制，增强医疗救助兜底保障功能，促进医疗救助与慈善救助有机衔接。完善疾病应急救助制度，确保急需救治的危重病患者能够得到及时救治。</w:t>
      </w:r>
    </w:p>
    <w:tbl>
      <w:tblPr>
        <w:tblStyle w:val="1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ind w:left="528" w:firstLine="0" w:firstLineChars="0"/>
              <w:rPr>
                <w:rFonts w:ascii="华文楷体" w:hAnsi="华文楷体" w:eastAsia="华文楷体"/>
                <w:szCs w:val="21"/>
              </w:rPr>
            </w:pPr>
            <w:r>
              <w:rPr>
                <w:rFonts w:hint="eastAsia"/>
                <w:b/>
                <w:bCs/>
                <w:szCs w:val="21"/>
              </w:rPr>
              <w:t>专栏</w:t>
            </w:r>
            <w:r>
              <w:rPr>
                <w:b/>
                <w:bCs/>
                <w:szCs w:val="21"/>
              </w:rPr>
              <w:t>3</w:t>
            </w:r>
            <w:r>
              <w:rPr>
                <w:rFonts w:hint="eastAsia"/>
                <w:b/>
                <w:bCs/>
                <w:szCs w:val="21"/>
              </w:rPr>
              <w:t xml:space="preserve"> </w:t>
            </w:r>
            <w:r>
              <w:rPr>
                <w:b/>
                <w:bCs/>
                <w:szCs w:val="21"/>
              </w:rPr>
              <w:t xml:space="preserve">                  </w:t>
            </w:r>
            <w:r>
              <w:rPr>
                <w:rFonts w:hint="eastAsia"/>
                <w:b/>
                <w:bCs/>
                <w:szCs w:val="21"/>
              </w:rPr>
              <w:t>重特大疾病医疗救助工程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numPr>
                <w:ilvl w:val="0"/>
                <w:numId w:val="2"/>
              </w:numPr>
              <w:ind w:firstLineChars="0"/>
              <w:rPr>
                <w:rFonts w:ascii="华文楷体" w:hAnsi="华文楷体" w:eastAsia="华文楷体"/>
                <w:bCs/>
                <w:szCs w:val="21"/>
              </w:rPr>
            </w:pPr>
            <w:r>
              <w:rPr>
                <w:rFonts w:hint="eastAsia" w:ascii="华文楷体" w:hAnsi="华文楷体" w:eastAsia="华文楷体"/>
                <w:bCs/>
                <w:szCs w:val="21"/>
              </w:rPr>
              <w:t>建立救助对象精准识别机制。完善救助对象认定办法，推动医保部门与民政部门各类救助对象身份信息共享，加强医疗救助对象动态管理，确保困难群众及时获得救助，避免漏保与错保。</w:t>
            </w:r>
          </w:p>
          <w:p>
            <w:pPr>
              <w:pStyle w:val="27"/>
              <w:numPr>
                <w:ilvl w:val="0"/>
                <w:numId w:val="2"/>
              </w:numPr>
              <w:ind w:firstLineChars="0"/>
              <w:rPr>
                <w:rFonts w:ascii="华文楷体" w:hAnsi="华文楷体" w:eastAsia="华文楷体"/>
                <w:bCs/>
                <w:szCs w:val="21"/>
              </w:rPr>
            </w:pPr>
            <w:r>
              <w:rPr>
                <w:rFonts w:hint="eastAsia" w:ascii="华文楷体" w:hAnsi="华文楷体" w:eastAsia="华文楷体"/>
                <w:bCs/>
                <w:szCs w:val="21"/>
              </w:rPr>
              <w:t>规范救助对象医疗救助程序。建立健全全市统一规范的医疗救助标准和流程，规范全市医疗救助程序。</w:t>
            </w:r>
          </w:p>
          <w:p>
            <w:pPr>
              <w:pStyle w:val="27"/>
              <w:numPr>
                <w:ilvl w:val="0"/>
                <w:numId w:val="2"/>
              </w:numPr>
              <w:ind w:firstLineChars="0"/>
              <w:rPr>
                <w:rFonts w:ascii="华文楷体" w:hAnsi="华文楷体" w:eastAsia="华文楷体"/>
                <w:bCs/>
                <w:szCs w:val="21"/>
              </w:rPr>
            </w:pPr>
            <w:r>
              <w:rPr>
                <w:rFonts w:hint="eastAsia" w:ascii="华文楷体" w:hAnsi="华文楷体" w:eastAsia="华文楷体"/>
                <w:bCs/>
                <w:szCs w:val="21"/>
              </w:rPr>
              <w:t>健全困难群众三重保障衔接机制。坚持“先保险，后救助”保障原则，严格执行基本医保支付范围和标准，提高大病保险对困难群众的保障水平，夯实医疗救助托底保障，合力防范因病致贫返贫风险。</w:t>
            </w:r>
          </w:p>
          <w:p>
            <w:pPr>
              <w:pStyle w:val="27"/>
              <w:numPr>
                <w:ilvl w:val="0"/>
                <w:numId w:val="2"/>
              </w:numPr>
              <w:ind w:firstLineChars="0"/>
              <w:rPr>
                <w:rFonts w:ascii="华文楷体" w:hAnsi="华文楷体" w:eastAsia="华文楷体"/>
                <w:b/>
                <w:szCs w:val="21"/>
              </w:rPr>
            </w:pPr>
            <w:r>
              <w:rPr>
                <w:rFonts w:hint="eastAsia" w:ascii="华文楷体" w:hAnsi="华文楷体" w:eastAsia="华文楷体"/>
                <w:bCs/>
                <w:szCs w:val="21"/>
              </w:rPr>
              <w:t>加强医疗救助对象就医行为监管。引导医疗救助对象合理诊疗，促进有序就医，严格控制不合理的医药费用支出。</w:t>
            </w:r>
          </w:p>
          <w:p>
            <w:pPr>
              <w:pStyle w:val="27"/>
              <w:numPr>
                <w:ilvl w:val="0"/>
                <w:numId w:val="2"/>
              </w:numPr>
              <w:ind w:firstLineChars="0"/>
              <w:rPr>
                <w:rFonts w:ascii="华文楷体" w:hAnsi="华文楷体" w:eastAsia="华文楷体"/>
                <w:b/>
                <w:szCs w:val="21"/>
              </w:rPr>
            </w:pPr>
            <w:r>
              <w:rPr>
                <w:rFonts w:hint="eastAsia" w:ascii="华文楷体" w:hAnsi="华文楷体" w:eastAsia="华文楷体"/>
                <w:bCs/>
                <w:szCs w:val="21"/>
              </w:rPr>
              <w:t>加强医疗救助与乡村振兴的衔接，鼓励慈善组织等社会力量参与社会救助，探索建立“罕见病”用药保障机制。</w:t>
            </w:r>
          </w:p>
        </w:tc>
      </w:tr>
    </w:tbl>
    <w:p>
      <w:pPr>
        <w:pStyle w:val="5"/>
        <w:spacing w:line="415" w:lineRule="auto"/>
        <w:ind w:firstLine="643" w:firstLineChars="200"/>
      </w:pPr>
      <w:bookmarkStart w:id="22" w:name="_Toc110200797"/>
      <w:r>
        <w:rPr>
          <w:rFonts w:hint="eastAsia"/>
        </w:rPr>
        <w:t>三、</w:t>
      </w:r>
      <w:r>
        <w:t>完善补充医保制度</w:t>
      </w:r>
      <w:bookmarkEnd w:id="22"/>
    </w:p>
    <w:p>
      <w:pPr>
        <w:widowControl/>
        <w:ind w:firstLine="640" w:firstLineChars="200"/>
        <w:rPr>
          <w:sz w:val="32"/>
          <w:szCs w:val="32"/>
        </w:rPr>
      </w:pPr>
      <w:r>
        <w:rPr>
          <w:rFonts w:hint="eastAsia"/>
          <w:sz w:val="32"/>
          <w:szCs w:val="32"/>
        </w:rPr>
        <w:t>全面实施全市统一的大病保险制度，着力解决大病保障不足的问题。规范职工大额医疗补助和公务员医疗补助，对政策范围内的个人负担费用进行分段补助，健全基本医保与补充医保衔接机制。逐步建立政府、用人单位、个人合理分担的大病保险筹资机制，强化个人缴费责任，适度提高大病保障水平。鼓励和支持商业保险公司开发与基本医保相衔接的“惠民保”产品，将医保目录外的合理医药费用、目录内自付费用纳入保障范围。完善医疗互助制度，加快医疗互助发展，优先发展机关事业单位职工医疗互助，鼓励企业建立职工医疗互助。</w:t>
      </w:r>
    </w:p>
    <w:p>
      <w:pPr>
        <w:pStyle w:val="5"/>
        <w:spacing w:line="415" w:lineRule="auto"/>
        <w:ind w:firstLine="643" w:firstLineChars="200"/>
      </w:pPr>
      <w:bookmarkStart w:id="23" w:name="_Toc110200798"/>
      <w:r>
        <w:rPr>
          <w:rFonts w:hint="eastAsia"/>
        </w:rPr>
        <w:t>四、加强重大疫情保障</w:t>
      </w:r>
      <w:bookmarkEnd w:id="23"/>
    </w:p>
    <w:p>
      <w:pPr>
        <w:widowControl/>
        <w:ind w:firstLine="640" w:firstLineChars="200"/>
        <w:rPr>
          <w:sz w:val="32"/>
          <w:szCs w:val="32"/>
        </w:rPr>
      </w:pPr>
      <w:r>
        <w:rPr>
          <w:rFonts w:hint="eastAsia"/>
          <w:sz w:val="32"/>
          <w:szCs w:val="32"/>
        </w:rPr>
        <w:t>建立健全重大疫情救治医疗保障机制，确保医疗机构不因支付政策影响救治、患者不因医疗费用影响就医。完善异地就医报销政策和结算制度，减少患者流动带来的传染风险。严格落实国家、省、市重大疫情特殊群体、特定疾病医药费豁免制度，针对性免除医保目录、支付限额、用药量等限制性条款，减轻困难群众救治后顾之忧。创新突发疫情期间医保服务应急供给机制，为患者及时救治提供最大便利。统筹使用医保基金和公共卫生服务资金，提高基层医疗机构报销比例，促进基层社区医防融合。</w:t>
      </w:r>
    </w:p>
    <w:p>
      <w:pPr>
        <w:pStyle w:val="5"/>
        <w:spacing w:line="415" w:lineRule="auto"/>
        <w:ind w:firstLine="643" w:firstLineChars="200"/>
      </w:pPr>
      <w:bookmarkStart w:id="24" w:name="_Toc110200799"/>
      <w:r>
        <w:rPr>
          <w:rFonts w:hint="eastAsia"/>
        </w:rPr>
        <w:t>五、探索长期护理保险</w:t>
      </w:r>
      <w:bookmarkEnd w:id="24"/>
    </w:p>
    <w:p>
      <w:pPr>
        <w:widowControl/>
        <w:ind w:firstLine="640" w:firstLineChars="200"/>
        <w:rPr>
          <w:sz w:val="32"/>
          <w:szCs w:val="32"/>
        </w:rPr>
      </w:pPr>
      <w:r>
        <w:rPr>
          <w:rFonts w:hint="eastAsia"/>
          <w:sz w:val="32"/>
          <w:szCs w:val="32"/>
        </w:rPr>
        <w:t>积极应对人口老龄化挑战，加强我市人口老龄化、失能、失智人口增长变动趋势预测，科学测算长期护理服务需求。</w:t>
      </w:r>
      <w:r>
        <w:rPr>
          <w:sz w:val="32"/>
          <w:szCs w:val="32"/>
        </w:rPr>
        <w:t>根据国家</w:t>
      </w:r>
      <w:r>
        <w:rPr>
          <w:rFonts w:hint="eastAsia"/>
          <w:sz w:val="32"/>
          <w:szCs w:val="32"/>
        </w:rPr>
        <w:t>和</w:t>
      </w:r>
      <w:r>
        <w:rPr>
          <w:sz w:val="32"/>
          <w:szCs w:val="32"/>
        </w:rPr>
        <w:t>省统一部署，</w:t>
      </w:r>
      <w:r>
        <w:rPr>
          <w:rFonts w:hint="eastAsia"/>
          <w:sz w:val="32"/>
          <w:szCs w:val="32"/>
        </w:rPr>
        <w:t>探索开展长期护理保险试点。坚持责任共担原则，合理确定筹资水平、筹资来源和筹资方式，探索建立多渠道筹资机制。研究制定长期护理保险待遇保障政策、失能等级评估办法和待遇享受条件等制度框架。研究鼓励和支持商业保险公司参与经办长期护理保险业务的具体办法。做好长期护理保险与基本医保的衔接，把符合条件的医养结合机构纳入医保定点机构范围，因疾病治疗导致的合规医疗费用和医疗康复项目纳入医保基金支出范围。研究制定家庭病床管理办法及与其相适应的医保支付政策。</w:t>
      </w:r>
    </w:p>
    <w:p>
      <w:pPr>
        <w:pStyle w:val="4"/>
        <w:jc w:val="center"/>
      </w:pPr>
      <w:bookmarkStart w:id="25" w:name="_Toc110200800"/>
      <w:r>
        <w:rPr>
          <w:rFonts w:hint="eastAsia"/>
        </w:rPr>
        <w:t xml:space="preserve">第二节 </w:t>
      </w:r>
      <w:r>
        <w:t xml:space="preserve"> </w:t>
      </w:r>
      <w:r>
        <w:rPr>
          <w:rFonts w:hint="eastAsia"/>
        </w:rPr>
        <w:t>健全严密有力的监管制度体系</w:t>
      </w:r>
      <w:bookmarkEnd w:id="25"/>
    </w:p>
    <w:p>
      <w:pPr>
        <w:pStyle w:val="5"/>
        <w:spacing w:line="415" w:lineRule="auto"/>
        <w:ind w:firstLine="643" w:firstLineChars="200"/>
      </w:pPr>
      <w:bookmarkStart w:id="26" w:name="_Toc110200801"/>
      <w:r>
        <w:rPr>
          <w:rFonts w:hint="eastAsia"/>
        </w:rPr>
        <w:t>一、加强监管能力建设</w:t>
      </w:r>
      <w:bookmarkEnd w:id="26"/>
    </w:p>
    <w:p>
      <w:pPr>
        <w:widowControl/>
        <w:ind w:firstLine="640" w:firstLineChars="200"/>
        <w:rPr>
          <w:sz w:val="32"/>
          <w:szCs w:val="32"/>
        </w:rPr>
      </w:pPr>
      <w:r>
        <w:rPr>
          <w:rFonts w:hint="eastAsia"/>
          <w:sz w:val="32"/>
          <w:szCs w:val="32"/>
        </w:rPr>
        <w:t>加强医保基金监管人才队伍建设，配齐行政、医疗、律师、审计、会计等五种专业人才，强化技术手段，定期举行监管人员医保政策和业务培训以及通过业务骨干以老带新等形式，不断提高监管队伍的业务水平和工作能力。健全医保部门权责清单，提升规范性文件审核能力。明确执法程序、执法依据、证据采集等内容，规范执法文书和处罚标准，建立健全行政处罚立案、调查取证、处罚决定和送达告知等医保执法标准化流程和步骤。积极引入信息技术服务机构、会计师事务所、商业保险公司等第三方力量参与医保基金监管，建立健全数据筛查、财务审计、病历审核等合作机制，实现基金监管关口前移、高效、精准。</w:t>
      </w:r>
    </w:p>
    <w:p>
      <w:pPr>
        <w:pStyle w:val="5"/>
        <w:spacing w:line="415" w:lineRule="auto"/>
        <w:ind w:firstLine="643" w:firstLineChars="200"/>
      </w:pPr>
      <w:bookmarkStart w:id="27" w:name="_Toc110200802"/>
      <w:r>
        <w:rPr>
          <w:rFonts w:hint="eastAsia"/>
        </w:rPr>
        <w:t>二、加快监管机制建设</w:t>
      </w:r>
      <w:bookmarkEnd w:id="27"/>
    </w:p>
    <w:p>
      <w:pPr>
        <w:widowControl/>
        <w:ind w:firstLine="640" w:firstLineChars="200"/>
        <w:rPr>
          <w:sz w:val="32"/>
          <w:szCs w:val="32"/>
        </w:rPr>
      </w:pPr>
      <w:r>
        <w:rPr>
          <w:rFonts w:hint="eastAsia"/>
          <w:sz w:val="32"/>
          <w:szCs w:val="32"/>
        </w:rPr>
        <w:t>建立健全日常全覆盖巡查、“三假”专项检查、随机抽查、单位自查、现场检查、重点抽查等多种监督检查制度。完善“双随机，一公开”监管机制，严格落实行政执法“三项制度”，保障医保基金监管公平、公正、公开。建立健全医保部门牵头，审计、财政、卫健、公安、人社、民政等部门相互配合的综合监管制度，完善协同执法、一案多查、一案多处、行刑衔接机制，大力推动部门联合执法、信息共享和互联互通。对查实的欺诈骗保行为，各相关部门应当按照职责权限对有关单位和个人依法依规严肃处理。积极申报全国医保基金综合监管示范点。</w:t>
      </w:r>
    </w:p>
    <w:p>
      <w:pPr>
        <w:pStyle w:val="5"/>
        <w:spacing w:line="415" w:lineRule="auto"/>
        <w:ind w:firstLine="643" w:firstLineChars="200"/>
      </w:pPr>
      <w:bookmarkStart w:id="28" w:name="_Toc110200803"/>
      <w:r>
        <w:rPr>
          <w:rFonts w:hint="eastAsia"/>
        </w:rPr>
        <w:t>三、健全智能监控系统</w:t>
      </w:r>
      <w:bookmarkEnd w:id="28"/>
    </w:p>
    <w:p>
      <w:pPr>
        <w:widowControl/>
        <w:ind w:firstLine="640" w:firstLineChars="200"/>
        <w:rPr>
          <w:sz w:val="32"/>
          <w:szCs w:val="32"/>
        </w:rPr>
      </w:pPr>
      <w:r>
        <w:rPr>
          <w:rFonts w:hint="eastAsia"/>
          <w:sz w:val="32"/>
          <w:szCs w:val="32"/>
        </w:rPr>
        <w:t>充分运用“互联网+”和现代信息技术，按照“</w:t>
      </w:r>
      <w:r>
        <w:rPr>
          <w:sz w:val="32"/>
          <w:szCs w:val="32"/>
        </w:rPr>
        <w:t>事前提醒、事中监管、事后审核</w:t>
      </w:r>
      <w:r>
        <w:rPr>
          <w:rFonts w:hint="eastAsia"/>
          <w:sz w:val="32"/>
          <w:szCs w:val="32"/>
        </w:rPr>
        <w:t>”原则，加快推进医保智能监控建设，实现全市医保智能监控全覆盖。建立药品和耗材进销存定期核对制度，实现药品和耗材动态管理。适应医保支付方式改革，健全基础信息标准库、临床指南医学知识库和智能监控规则库，不断完善医保智能监控体系</w:t>
      </w:r>
      <w:r>
        <w:rPr>
          <w:sz w:val="32"/>
          <w:szCs w:val="32"/>
        </w:rPr>
        <w:t>。</w:t>
      </w:r>
      <w:r>
        <w:rPr>
          <w:rFonts w:hint="eastAsia"/>
          <w:sz w:val="32"/>
          <w:szCs w:val="32"/>
        </w:rPr>
        <w:t>建立健全医保基金使用异常行为预警系统，实现对医保基金征缴、支出、结余全过程监督。建立两定机构诊疗行为和医保基金支出大数据筛查规则，实现医保基金监管模式从传统的“人工抽单”审核向大数据全方位、全流程、全环节的精细化智能监控转变。</w:t>
      </w:r>
    </w:p>
    <w:tbl>
      <w:tblPr>
        <w:tblStyle w:val="1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ind w:left="528" w:firstLine="0" w:firstLineChars="0"/>
              <w:rPr>
                <w:rFonts w:ascii="华文楷体" w:hAnsi="华文楷体" w:eastAsia="华文楷体"/>
                <w:szCs w:val="21"/>
              </w:rPr>
            </w:pPr>
            <w:r>
              <w:rPr>
                <w:rFonts w:hint="eastAsia"/>
                <w:b/>
                <w:bCs/>
                <w:szCs w:val="21"/>
              </w:rPr>
              <w:t>专栏</w:t>
            </w:r>
            <w:r>
              <w:rPr>
                <w:b/>
                <w:bCs/>
                <w:szCs w:val="21"/>
              </w:rPr>
              <w:t>4</w:t>
            </w:r>
            <w:r>
              <w:rPr>
                <w:rFonts w:hint="eastAsia"/>
                <w:b/>
                <w:bCs/>
                <w:szCs w:val="21"/>
              </w:rPr>
              <w:t xml:space="preserve"> </w:t>
            </w:r>
            <w:r>
              <w:rPr>
                <w:b/>
                <w:bCs/>
                <w:szCs w:val="21"/>
              </w:rPr>
              <w:t xml:space="preserve">                   </w:t>
            </w:r>
            <w:r>
              <w:rPr>
                <w:rFonts w:hint="eastAsia"/>
                <w:b/>
                <w:bCs/>
                <w:szCs w:val="21"/>
              </w:rPr>
              <w:t>智能监控建设工程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numPr>
                <w:ilvl w:val="0"/>
                <w:numId w:val="3"/>
              </w:numPr>
              <w:ind w:firstLineChars="0"/>
              <w:rPr>
                <w:rFonts w:ascii="华文楷体" w:hAnsi="华文楷体" w:eastAsia="华文楷体"/>
                <w:b/>
                <w:bCs/>
                <w:szCs w:val="21"/>
              </w:rPr>
            </w:pPr>
            <w:r>
              <w:rPr>
                <w:rFonts w:hint="eastAsia" w:ascii="华文楷体" w:hAnsi="华文楷体" w:eastAsia="华文楷体"/>
                <w:bCs/>
                <w:szCs w:val="21"/>
              </w:rPr>
              <w:t>基础信息库建设。推进医保信息系统县（区）、乡（镇）、村（社区）三级联网，完善基础信息标准库和临床指南医学知识库，加快健全智能监控规则库。</w:t>
            </w:r>
          </w:p>
          <w:p>
            <w:pPr>
              <w:pStyle w:val="27"/>
              <w:numPr>
                <w:ilvl w:val="0"/>
                <w:numId w:val="3"/>
              </w:numPr>
              <w:ind w:firstLineChars="0"/>
              <w:rPr>
                <w:rFonts w:ascii="华文楷体" w:hAnsi="华文楷体" w:eastAsia="华文楷体"/>
                <w:b/>
                <w:bCs/>
                <w:szCs w:val="21"/>
              </w:rPr>
            </w:pPr>
            <w:r>
              <w:rPr>
                <w:rFonts w:hint="eastAsia" w:ascii="华文楷体" w:hAnsi="华文楷体" w:eastAsia="华文楷体"/>
                <w:bCs/>
                <w:szCs w:val="21"/>
              </w:rPr>
              <w:t>异常行为预警系统建设。建设异常诊疗行为预警系统，根据异常诊疗行为、开药行为严重程度设置预警级别，强化事前事中监管。</w:t>
            </w:r>
          </w:p>
          <w:p>
            <w:pPr>
              <w:pStyle w:val="27"/>
              <w:numPr>
                <w:ilvl w:val="0"/>
                <w:numId w:val="3"/>
              </w:numPr>
              <w:ind w:firstLineChars="0"/>
              <w:rPr>
                <w:rFonts w:ascii="华文楷体" w:hAnsi="华文楷体" w:eastAsia="华文楷体"/>
                <w:b/>
                <w:bCs/>
                <w:szCs w:val="21"/>
              </w:rPr>
            </w:pPr>
            <w:r>
              <w:rPr>
                <w:rFonts w:hint="eastAsia" w:ascii="华文楷体" w:hAnsi="华文楷体" w:eastAsia="华文楷体"/>
                <w:szCs w:val="21"/>
              </w:rPr>
              <w:t>进销存实时管理。建立药品和医用耗材进销存定期核对制度，实现实时动态管理。</w:t>
            </w:r>
          </w:p>
          <w:p>
            <w:pPr>
              <w:pStyle w:val="27"/>
              <w:numPr>
                <w:ilvl w:val="0"/>
                <w:numId w:val="3"/>
              </w:numPr>
              <w:ind w:firstLineChars="0"/>
              <w:rPr>
                <w:rFonts w:ascii="华文楷体" w:hAnsi="华文楷体" w:eastAsia="华文楷体"/>
                <w:b/>
                <w:bCs/>
                <w:szCs w:val="21"/>
              </w:rPr>
            </w:pPr>
            <w:r>
              <w:rPr>
                <w:rFonts w:hint="eastAsia" w:ascii="华文楷体" w:hAnsi="华文楷体" w:eastAsia="华文楷体"/>
                <w:szCs w:val="21"/>
              </w:rPr>
              <w:t>视频监控全覆盖。大力推进视频监控全覆盖，探索生物特征识别技术在医保基金监管中的应用。</w:t>
            </w:r>
          </w:p>
          <w:p>
            <w:pPr>
              <w:pStyle w:val="27"/>
              <w:numPr>
                <w:ilvl w:val="0"/>
                <w:numId w:val="3"/>
              </w:numPr>
              <w:ind w:firstLineChars="0"/>
              <w:rPr>
                <w:rFonts w:ascii="华文楷体" w:hAnsi="华文楷体" w:eastAsia="华文楷体"/>
                <w:b/>
                <w:szCs w:val="21"/>
              </w:rPr>
            </w:pPr>
            <w:r>
              <w:rPr>
                <w:rFonts w:hint="eastAsia" w:ascii="华文楷体" w:hAnsi="华文楷体" w:eastAsia="华文楷体"/>
                <w:bCs/>
                <w:szCs w:val="21"/>
              </w:rPr>
              <w:t>加强大数据筛查。探索制定定点医药机构诊疗行为和医保基金支出大数据筛查规则，推动医保基金监管从人工抽单向智能监控全覆盖。</w:t>
            </w:r>
          </w:p>
        </w:tc>
      </w:tr>
    </w:tbl>
    <w:p>
      <w:pPr>
        <w:pStyle w:val="5"/>
        <w:spacing w:line="415" w:lineRule="auto"/>
        <w:ind w:firstLine="643" w:firstLineChars="200"/>
      </w:pPr>
      <w:bookmarkStart w:id="29" w:name="_Toc110200804"/>
      <w:r>
        <w:rPr>
          <w:rFonts w:hint="eastAsia"/>
        </w:rPr>
        <w:t>四、探索信用监管制度</w:t>
      </w:r>
      <w:bookmarkEnd w:id="29"/>
    </w:p>
    <w:p>
      <w:pPr>
        <w:widowControl/>
        <w:ind w:firstLine="640" w:firstLineChars="200"/>
        <w:rPr>
          <w:sz w:val="32"/>
          <w:szCs w:val="32"/>
        </w:rPr>
      </w:pPr>
      <w:r>
        <w:rPr>
          <w:rFonts w:hint="eastAsia"/>
          <w:sz w:val="32"/>
          <w:szCs w:val="32"/>
        </w:rPr>
        <w:t>依照上级部门制定的医保信用监管规则和标准，探索建立信用承诺、信用评价、信息共享、结果公开、结果应用、信用修复等全链条闭环式信用监管制度体系，根据信用等级高低，依法依规实施分级分类差异化监管和倾斜性政策。探索建立医保信用“黑名单”制度，以相关处理结果为依据，按程序将性质恶劣、情节严重、社会危害大的医保失信行为责任主体纳入医保信用“黑名单”，加大典型案例曝光力度，依法依规开展守信联合激励和失信联合惩戒。探索建立药品和医用耗材生产流通企业等主体的信用承诺制度，鼓励医疗机构协会等行业自律组织，加强行业规范和自律机制建设，促进行业规范发展和自我约束。</w:t>
      </w:r>
    </w:p>
    <w:p>
      <w:pPr>
        <w:pStyle w:val="5"/>
        <w:spacing w:line="415" w:lineRule="auto"/>
        <w:ind w:firstLine="643" w:firstLineChars="200"/>
      </w:pPr>
      <w:bookmarkStart w:id="30" w:name="_Toc110200805"/>
      <w:r>
        <w:rPr>
          <w:rFonts w:hint="eastAsia"/>
        </w:rPr>
        <w:t>五、完善社会监督机制</w:t>
      </w:r>
      <w:bookmarkEnd w:id="30"/>
    </w:p>
    <w:p>
      <w:pPr>
        <w:widowControl/>
        <w:ind w:firstLine="640" w:firstLineChars="200"/>
        <w:rPr>
          <w:sz w:val="32"/>
          <w:szCs w:val="32"/>
        </w:rPr>
      </w:pPr>
      <w:r>
        <w:rPr>
          <w:rFonts w:hint="eastAsia"/>
          <w:sz w:val="32"/>
          <w:szCs w:val="32"/>
        </w:rPr>
        <w:t>建立健全信息公开制度，医保经办机构定期公布定点医药机构名单和医保基金收支结余等情况，定点医药机构定期公布医药服务价格和医药费用结构等信息，医保行政部门定期公开医保基金违法违规违约典型案例，为加强社会监督提供便利。通过公开举报专线电话，畅通政务服务热线电话，充分利用云上大冶APP、政府网、代表委员建议提案等渠道，及时回应关切，引导全社会积极参与医保监督。</w:t>
      </w:r>
    </w:p>
    <w:p>
      <w:pPr>
        <w:pStyle w:val="5"/>
        <w:spacing w:line="415" w:lineRule="auto"/>
        <w:ind w:firstLine="643" w:firstLineChars="200"/>
        <w:rPr>
          <w:rFonts w:ascii="宋体" w:hAnsi="宋体" w:eastAsia="宋体" w:cs="宋体"/>
          <w:sz w:val="24"/>
          <w:szCs w:val="24"/>
        </w:rPr>
      </w:pPr>
      <w:bookmarkStart w:id="31" w:name="_Toc110200806"/>
      <w:r>
        <w:rPr>
          <w:rFonts w:hint="eastAsia"/>
        </w:rPr>
        <w:t>六、加强自律机制建设</w:t>
      </w:r>
      <w:bookmarkEnd w:id="31"/>
    </w:p>
    <w:p>
      <w:pPr>
        <w:widowControl/>
        <w:ind w:firstLine="640" w:firstLineChars="200"/>
        <w:rPr>
          <w:sz w:val="32"/>
          <w:szCs w:val="32"/>
        </w:rPr>
      </w:pPr>
      <w:r>
        <w:rPr>
          <w:rFonts w:hint="eastAsia"/>
          <w:sz w:val="32"/>
          <w:szCs w:val="32"/>
        </w:rPr>
        <w:t>制定市医保经办机构内部控制管理实施细则，明确各项业务操作规程、各岗位人员职责、相关岗位制约控制措施。建立健全内控考评机制，采取本级自评与上一级考评相结合的形式进行，考评结果作为年度目标考核的重要依据。推动成立医保两定机构协会，覆盖全市90%以上的两定机构，从职业道德、行业诚信、自律守法、社会责任等方面进行倡导和约定，实现政府监督管理与行业自治自律有机结合。</w:t>
      </w:r>
    </w:p>
    <w:p>
      <w:pPr>
        <w:pStyle w:val="4"/>
        <w:jc w:val="center"/>
      </w:pPr>
      <w:bookmarkStart w:id="32" w:name="_Toc110200807"/>
      <w:r>
        <w:rPr>
          <w:rFonts w:hint="eastAsia"/>
        </w:rPr>
        <w:t xml:space="preserve">第三节 </w:t>
      </w:r>
      <w:r>
        <w:t xml:space="preserve"> </w:t>
      </w:r>
      <w:r>
        <w:rPr>
          <w:rFonts w:hint="eastAsia"/>
        </w:rPr>
        <w:t>优化医疗保障协同治理体系</w:t>
      </w:r>
      <w:bookmarkEnd w:id="32"/>
    </w:p>
    <w:p>
      <w:pPr>
        <w:pStyle w:val="5"/>
        <w:spacing w:line="415" w:lineRule="auto"/>
        <w:ind w:firstLine="643" w:firstLineChars="200"/>
      </w:pPr>
      <w:bookmarkStart w:id="33" w:name="_Toc110200808"/>
      <w:r>
        <w:rPr>
          <w:rFonts w:hint="eastAsia"/>
        </w:rPr>
        <w:t>一、严格执行基本医保目录</w:t>
      </w:r>
      <w:bookmarkEnd w:id="33"/>
    </w:p>
    <w:p>
      <w:pPr>
        <w:widowControl/>
        <w:ind w:firstLine="640" w:firstLineChars="200"/>
        <w:rPr>
          <w:kern w:val="0"/>
          <w:sz w:val="32"/>
          <w:szCs w:val="32"/>
        </w:rPr>
      </w:pPr>
      <w:r>
        <w:rPr>
          <w:rFonts w:hint="eastAsia"/>
          <w:kern w:val="0"/>
          <w:sz w:val="32"/>
          <w:szCs w:val="32"/>
        </w:rPr>
        <w:t>严格落实国家医保目录，执行全省统一的医保药品、诊疗项目和医用耗材目录，积极完成省级增补药品消化任务。按照上级部门规定，做好医保目录动态调整、国家谈判药品及时落地工作。合理控制医保目录外医疗服务项目范围，逐步缩小政策范围内报销比例与实际报销比例的差距，抓好国家谈判药品和耗材落地实施，切实减轻患者医药费用负担。加强医保药品目录落地情况监测，重点监测目录内药品在定点医药机构的采购、配送、使用、挂网、医保支付和临床疗效等信息。</w:t>
      </w:r>
    </w:p>
    <w:p>
      <w:pPr>
        <w:pStyle w:val="5"/>
        <w:spacing w:line="415" w:lineRule="auto"/>
        <w:ind w:firstLine="643" w:firstLineChars="200"/>
      </w:pPr>
      <w:bookmarkStart w:id="34" w:name="_Toc110200809"/>
      <w:r>
        <w:rPr>
          <w:rFonts w:hint="eastAsia"/>
        </w:rPr>
        <w:t>二、完善多元复合支付方式</w:t>
      </w:r>
      <w:bookmarkEnd w:id="34"/>
    </w:p>
    <w:p>
      <w:pPr>
        <w:widowControl/>
        <w:spacing w:after="156" w:afterLines="50"/>
        <w:ind w:firstLine="640" w:firstLineChars="200"/>
        <w:rPr>
          <w:sz w:val="32"/>
          <w:szCs w:val="32"/>
        </w:rPr>
      </w:pPr>
      <w:r>
        <w:rPr>
          <w:rFonts w:hint="eastAsia"/>
          <w:sz w:val="32"/>
          <w:szCs w:val="32"/>
        </w:rPr>
        <w:t>按照“以收定支、收支平衡、略有结余”的原则编制总额预算，统筹考虑住院与门诊、药品（耗材）与医疗服务、异地就医等情况，落实收支预算分类管理办法。进一步完善县域内“医共体”住院总额预付制度，全面推动DIP付费方式改革，完善精神病按床日、特殊慢性病按病种付费医保支付标准。推动门诊支付方式改革，逐步形成以服务能力、服务项目、服务量为基础的门诊费用支付方式。探索符合中医药特点的医保支付方式，实行中西医同病同效同价，引导具备条件的基层医疗机构提供适宜的中医药服务。</w:t>
      </w:r>
    </w:p>
    <w:p>
      <w:pPr>
        <w:pStyle w:val="5"/>
        <w:spacing w:line="415" w:lineRule="auto"/>
        <w:ind w:firstLine="643" w:firstLineChars="200"/>
      </w:pPr>
      <w:bookmarkStart w:id="35" w:name="_Toc110200810"/>
      <w:r>
        <w:rPr>
          <w:rFonts w:hint="eastAsia"/>
        </w:rPr>
        <w:t>三、落实集中带量采购政策</w:t>
      </w:r>
      <w:bookmarkEnd w:id="35"/>
    </w:p>
    <w:p>
      <w:pPr>
        <w:widowControl/>
        <w:spacing w:after="156" w:afterLines="50"/>
        <w:ind w:firstLine="640" w:firstLineChars="200"/>
        <w:rPr>
          <w:sz w:val="32"/>
          <w:szCs w:val="32"/>
        </w:rPr>
      </w:pPr>
      <w:r>
        <w:rPr>
          <w:rFonts w:hint="eastAsia"/>
          <w:sz w:val="32"/>
          <w:szCs w:val="32"/>
        </w:rPr>
        <w:t>全面落实国家组织的药品、医用耗材集中带量采购中选结果和高值医用耗材集中采购扩品、扩围政策。积极参与药品、医用耗材省际联盟集中带量采购和中成药省级跨区域联盟集中带量采购，探索市级联盟和医院联盟集中带量采购。推动全市公立医疗机构和定点零售药店在全省统一的药品、医用耗材阳光采购平台线上采购、公开交易，鼓励民营医院参与集中带量采购。探索建立创新药集中带量采购、阳光挂网采购绿色通道，推进质优价廉的药品尽快进入临床使用。鼓励定点医药机构优先使用集中带量采购中选药品和医用耗材，确保完成约定采购量。完善医保支付标准与集中带量采购价格协同机制，探索医保基金与企业直接结算。</w:t>
      </w:r>
    </w:p>
    <w:p>
      <w:pPr>
        <w:pStyle w:val="5"/>
        <w:spacing w:line="415" w:lineRule="auto"/>
        <w:ind w:firstLine="643" w:firstLineChars="200"/>
      </w:pPr>
      <w:bookmarkStart w:id="36" w:name="_Toc110200811"/>
      <w:r>
        <w:rPr>
          <w:rFonts w:hint="eastAsia"/>
        </w:rPr>
        <w:t>四、推进医药服务价格改革</w:t>
      </w:r>
      <w:bookmarkEnd w:id="36"/>
    </w:p>
    <w:p>
      <w:pPr>
        <w:widowControl/>
        <w:ind w:firstLine="640" w:firstLineChars="200"/>
        <w:rPr>
          <w:sz w:val="32"/>
          <w:szCs w:val="32"/>
        </w:rPr>
      </w:pPr>
      <w:r>
        <w:rPr>
          <w:rFonts w:hint="eastAsia"/>
          <w:sz w:val="32"/>
          <w:szCs w:val="32"/>
        </w:rPr>
        <w:t>按照价格管理权限，推动全市医药服务价格改革，逐步理顺医药服务比价关系，持续优化医药服务价格结构。建立公立医疗机构药品和医用耗材采购价格信息监测机制、交易价格信息共享机制，推进全市交易价格信息共享，提升医保部门对药品和医用耗材价格异常变动行为的监测预警和应对能力。强化药品和医用耗材价格常态化监管，建设医药价格监测工程，全面落实医药价格和招采信用评价制度，遏制药品和医用耗材价格虚高，兼顾企业合理利润，促进医药行业健康发展。积极申报省医药服务价格改革试点。</w:t>
      </w:r>
    </w:p>
    <w:p>
      <w:pPr>
        <w:pStyle w:val="5"/>
        <w:spacing w:line="415" w:lineRule="auto"/>
        <w:ind w:firstLine="643" w:firstLineChars="200"/>
      </w:pPr>
      <w:bookmarkStart w:id="37" w:name="_Toc110200812"/>
      <w:r>
        <w:rPr>
          <w:rFonts w:hint="eastAsia"/>
        </w:rPr>
        <w:t>五、助力医药服务质量提升</w:t>
      </w:r>
      <w:bookmarkEnd w:id="37"/>
    </w:p>
    <w:p>
      <w:pPr>
        <w:ind w:firstLine="640" w:firstLineChars="200"/>
        <w:rPr>
          <w:sz w:val="32"/>
          <w:szCs w:val="32"/>
        </w:rPr>
      </w:pPr>
      <w:r>
        <w:rPr>
          <w:rFonts w:hint="eastAsia" w:ascii="仿宋_GB2312" w:hAnsi="仿宋_GB2312"/>
          <w:kern w:val="0"/>
          <w:sz w:val="32"/>
          <w:szCs w:val="32"/>
        </w:rPr>
        <w:t>完善“医共体”内部双向转诊医保支付政策</w:t>
      </w:r>
      <w:r>
        <w:rPr>
          <w:rFonts w:ascii="仿宋_GB2312" w:hAnsi="仿宋_GB2312"/>
          <w:kern w:val="0"/>
          <w:sz w:val="32"/>
          <w:szCs w:val="32"/>
        </w:rPr>
        <w:t>，</w:t>
      </w:r>
      <w:r>
        <w:rPr>
          <w:rFonts w:hint="eastAsia" w:ascii="仿宋_GB2312" w:hAnsi="仿宋_GB2312"/>
          <w:kern w:val="0"/>
          <w:sz w:val="32"/>
          <w:szCs w:val="32"/>
        </w:rPr>
        <w:t>加强分级诊疗体系建设</w:t>
      </w:r>
      <w:r>
        <w:rPr>
          <w:rFonts w:ascii="仿宋_GB2312" w:hAnsi="仿宋_GB2312"/>
          <w:kern w:val="0"/>
          <w:sz w:val="32"/>
          <w:szCs w:val="32"/>
        </w:rPr>
        <w:t>，促进基层医疗卫生服务有效利用和患者有序就医。支持儿科、老年医学科、护理、康复和精神心理科等紧缺</w:t>
      </w:r>
      <w:r>
        <w:rPr>
          <w:rFonts w:hint="eastAsia" w:ascii="仿宋_GB2312" w:hAnsi="仿宋_GB2312"/>
          <w:kern w:val="0"/>
          <w:sz w:val="32"/>
          <w:szCs w:val="32"/>
        </w:rPr>
        <w:t>型</w:t>
      </w:r>
      <w:r>
        <w:rPr>
          <w:rFonts w:ascii="仿宋_GB2312" w:hAnsi="仿宋_GB2312"/>
          <w:kern w:val="0"/>
          <w:sz w:val="32"/>
          <w:szCs w:val="32"/>
        </w:rPr>
        <w:t>医疗服务发展。</w:t>
      </w:r>
      <w:r>
        <w:rPr>
          <w:rFonts w:hint="eastAsia" w:ascii="仿宋_GB2312" w:hAnsi="仿宋_GB2312"/>
          <w:kern w:val="0"/>
          <w:sz w:val="32"/>
          <w:szCs w:val="32"/>
        </w:rPr>
        <w:t>鼓励日间手术、多学科诊疗、无痛诊疗等医疗服务发展。完善检查检验政策，积极推进医疗机构检查检验结果互认，将医疗机构开展检查检验结果互认工作情况作为两定机构评定标准。</w:t>
      </w:r>
      <w:r>
        <w:rPr>
          <w:rFonts w:ascii="仿宋_GB2312" w:hAnsi="仿宋_GB2312"/>
          <w:kern w:val="0"/>
          <w:sz w:val="32"/>
          <w:szCs w:val="32"/>
        </w:rPr>
        <w:t>支持远程医疗服务、上门护理服务、互联网诊疗服务等新模式</w:t>
      </w:r>
      <w:r>
        <w:rPr>
          <w:rFonts w:hint="eastAsia" w:ascii="仿宋_GB2312" w:hAnsi="仿宋_GB2312"/>
          <w:kern w:val="0"/>
          <w:sz w:val="32"/>
          <w:szCs w:val="32"/>
        </w:rPr>
        <w:t>有序发展</w:t>
      </w:r>
      <w:r>
        <w:rPr>
          <w:rFonts w:ascii="仿宋_GB2312" w:hAnsi="仿宋_GB2312"/>
          <w:kern w:val="0"/>
          <w:sz w:val="32"/>
          <w:szCs w:val="32"/>
        </w:rPr>
        <w:t>。</w:t>
      </w:r>
      <w:r>
        <w:rPr>
          <w:rFonts w:hint="eastAsia" w:ascii="仿宋_GB2312" w:hAnsi="仿宋_GB2312"/>
          <w:kern w:val="0"/>
          <w:sz w:val="32"/>
          <w:szCs w:val="32"/>
        </w:rPr>
        <w:t>坚持中西医并重发展，支持中医药传承创新，加强中医特色专科和优势病种建设，强化中医药在疾病预防治疗中的作用。完善科学合理的考评体系，规范两定机构和医务人员诊疗行为。</w:t>
      </w:r>
    </w:p>
    <w:p>
      <w:pPr>
        <w:pStyle w:val="4"/>
        <w:jc w:val="center"/>
      </w:pPr>
      <w:bookmarkStart w:id="38" w:name="_Toc110200813"/>
      <w:r>
        <w:rPr>
          <w:rFonts w:hint="eastAsia"/>
        </w:rPr>
        <w:t xml:space="preserve">第四节 </w:t>
      </w:r>
      <w:r>
        <w:t xml:space="preserve"> </w:t>
      </w:r>
      <w:r>
        <w:rPr>
          <w:rFonts w:hint="eastAsia"/>
        </w:rPr>
        <w:t>筑牢医疗保障服务支撑体系</w:t>
      </w:r>
      <w:bookmarkEnd w:id="38"/>
    </w:p>
    <w:p>
      <w:pPr>
        <w:pStyle w:val="5"/>
        <w:spacing w:line="415" w:lineRule="auto"/>
        <w:ind w:firstLine="643" w:firstLineChars="200"/>
      </w:pPr>
      <w:bookmarkStart w:id="39" w:name="_Toc110200814"/>
      <w:r>
        <w:rPr>
          <w:rFonts w:hint="eastAsia"/>
        </w:rPr>
        <w:t>一、加强经办服务网络建设</w:t>
      </w:r>
      <w:bookmarkEnd w:id="39"/>
    </w:p>
    <w:p>
      <w:pPr>
        <w:widowControl/>
        <w:ind w:firstLine="640" w:firstLineChars="200"/>
        <w:rPr>
          <w:sz w:val="32"/>
          <w:szCs w:val="32"/>
        </w:rPr>
      </w:pPr>
      <w:r>
        <w:rPr>
          <w:rFonts w:hint="eastAsia"/>
          <w:sz w:val="32"/>
          <w:szCs w:val="32"/>
        </w:rPr>
        <w:t>完善全市统一的医保经办服务网络，实现市、乡镇（街道）、村（社区）经办服务网络全覆盖，重点配置乡镇（街道）、村（社区）级医保经办力量和办公场所。坚持“线下”与“线上”相结合，加快建立医保经办互联网服务大厅，实现医保经办服务信息化、电子化和掌上办。以医保经办服务窗口示范点、定点医疗机构示范点和智慧医保管理服务示范点建设为抓手，大力推动全市经办管理服务数字化、智能化水平，积极申报国家级医保经办服务市（县）示范点。</w:t>
      </w:r>
    </w:p>
    <w:tbl>
      <w:tblPr>
        <w:tblStyle w:val="1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ind w:left="528" w:firstLine="0" w:firstLineChars="0"/>
              <w:rPr>
                <w:rFonts w:ascii="华文楷体" w:hAnsi="华文楷体" w:eastAsia="华文楷体"/>
                <w:szCs w:val="21"/>
              </w:rPr>
            </w:pPr>
            <w:r>
              <w:rPr>
                <w:rFonts w:hint="eastAsia"/>
                <w:b/>
                <w:bCs/>
                <w:szCs w:val="21"/>
              </w:rPr>
              <w:t>专栏</w:t>
            </w:r>
            <w:r>
              <w:rPr>
                <w:b/>
                <w:bCs/>
                <w:szCs w:val="21"/>
              </w:rPr>
              <w:t>5</w:t>
            </w:r>
            <w:r>
              <w:rPr>
                <w:rFonts w:hint="eastAsia"/>
                <w:b/>
                <w:bCs/>
                <w:szCs w:val="21"/>
              </w:rPr>
              <w:t xml:space="preserve"> </w:t>
            </w:r>
            <w:r>
              <w:rPr>
                <w:b/>
                <w:bCs/>
                <w:szCs w:val="21"/>
              </w:rPr>
              <w:t xml:space="preserve">                     </w:t>
            </w:r>
            <w:r>
              <w:rPr>
                <w:rFonts w:hint="eastAsia"/>
                <w:b/>
                <w:bCs/>
                <w:szCs w:val="21"/>
              </w:rPr>
              <w:t>医保经办服务示范工程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numPr>
                <w:ilvl w:val="0"/>
                <w:numId w:val="4"/>
              </w:numPr>
              <w:ind w:firstLineChars="0"/>
              <w:rPr>
                <w:rFonts w:ascii="华文楷体" w:hAnsi="华文楷体" w:eastAsia="华文楷体"/>
                <w:b/>
                <w:bCs/>
                <w:szCs w:val="21"/>
              </w:rPr>
            </w:pPr>
            <w:r>
              <w:rPr>
                <w:rFonts w:hint="eastAsia" w:ascii="华文楷体" w:hAnsi="华文楷体" w:eastAsia="华文楷体"/>
                <w:bCs/>
                <w:szCs w:val="21"/>
              </w:rPr>
              <w:t>建立健全覆盖市、乡（镇）、村（社区）的医保经办服务网络，配置与经办服务工作量相匹配的经办人员和工作经费。</w:t>
            </w:r>
          </w:p>
          <w:p>
            <w:pPr>
              <w:pStyle w:val="27"/>
              <w:numPr>
                <w:ilvl w:val="0"/>
                <w:numId w:val="4"/>
              </w:numPr>
              <w:ind w:firstLineChars="0"/>
              <w:rPr>
                <w:rFonts w:ascii="华文楷体" w:hAnsi="华文楷体" w:eastAsia="华文楷体"/>
                <w:b/>
                <w:szCs w:val="21"/>
              </w:rPr>
            </w:pPr>
            <w:r>
              <w:rPr>
                <w:rFonts w:hint="eastAsia" w:ascii="华文楷体" w:hAnsi="华文楷体" w:eastAsia="华文楷体"/>
                <w:bCs/>
                <w:szCs w:val="21"/>
              </w:rPr>
              <w:t>建立健全综合管理、业务流程、窗口服务、信息化建设和评价监督五大标准体系， 制定示范窗口评定标准。</w:t>
            </w:r>
          </w:p>
          <w:p>
            <w:pPr>
              <w:pStyle w:val="27"/>
              <w:numPr>
                <w:ilvl w:val="0"/>
                <w:numId w:val="4"/>
              </w:numPr>
              <w:ind w:firstLineChars="0"/>
              <w:rPr>
                <w:rFonts w:ascii="华文楷体" w:hAnsi="华文楷体" w:eastAsia="华文楷体"/>
                <w:b/>
                <w:szCs w:val="21"/>
              </w:rPr>
            </w:pPr>
            <w:r>
              <w:rPr>
                <w:rFonts w:hint="eastAsia" w:ascii="华文楷体" w:hAnsi="华文楷体" w:eastAsia="华文楷体"/>
                <w:szCs w:val="21"/>
              </w:rPr>
              <w:t>推动"三个1"工程建设。到2025年，建成1个县级经办服务窗口示范窗口；1个医疗保障定点医疗机构示范点，推动精细化管理，优化参保人就诊服务；1个智慧医保管理服务示范点，提升经办管理服务数字化、智能化水平。</w:t>
            </w:r>
          </w:p>
        </w:tc>
      </w:tr>
    </w:tbl>
    <w:p>
      <w:pPr>
        <w:pStyle w:val="5"/>
        <w:spacing w:line="415" w:lineRule="auto"/>
        <w:ind w:firstLine="643" w:firstLineChars="200"/>
      </w:pPr>
      <w:bookmarkStart w:id="40" w:name="_Toc110200815"/>
      <w:r>
        <w:rPr>
          <w:rFonts w:hint="eastAsia"/>
        </w:rPr>
        <w:t>二、加强医保干部队伍建设</w:t>
      </w:r>
      <w:bookmarkEnd w:id="40"/>
    </w:p>
    <w:p>
      <w:pPr>
        <w:widowControl/>
        <w:ind w:firstLine="640" w:firstLineChars="200"/>
        <w:rPr>
          <w:sz w:val="32"/>
          <w:szCs w:val="32"/>
        </w:rPr>
      </w:pPr>
      <w:r>
        <w:rPr>
          <w:rFonts w:hint="eastAsia"/>
          <w:sz w:val="32"/>
          <w:szCs w:val="32"/>
        </w:rPr>
        <w:t>坚持党建引领，强化作风建设和医保文化建设，筑牢为人民群众服务的思想根基，打造顾大局、有担当、敢作为的医保干部队伍。建立科学的医保人才配备机制，不断优化医保干部人员结构，合理有序引进紧缺急需的高素质专业人才。持续实施医保人才培训计划，采用集中培训、分级培训、在线指导等多种形式对各级医保干部进行系统的政策业务培训。加强医保经办“文明服务窗口”、“优质服务先进个人”和“优质服务标兵”评比，加大优秀人员表彰力度，选树先进典型。</w:t>
      </w:r>
    </w:p>
    <w:p>
      <w:pPr>
        <w:pStyle w:val="5"/>
        <w:spacing w:line="415" w:lineRule="auto"/>
        <w:ind w:firstLine="643" w:firstLineChars="200"/>
      </w:pPr>
      <w:bookmarkStart w:id="41" w:name="_Toc110200816"/>
      <w:r>
        <w:rPr>
          <w:rFonts w:hint="eastAsia"/>
        </w:rPr>
        <w:t>三、提高医保经办服务水平</w:t>
      </w:r>
      <w:bookmarkEnd w:id="41"/>
    </w:p>
    <w:p>
      <w:pPr>
        <w:pStyle w:val="8"/>
        <w:ind w:firstLine="640"/>
        <w:rPr>
          <w:rFonts w:ascii="仿宋_GB2312" w:hAnsi="仿宋_GB2312"/>
          <w:kern w:val="0"/>
          <w:sz w:val="32"/>
          <w:szCs w:val="32"/>
        </w:rPr>
      </w:pPr>
      <w:r>
        <w:rPr>
          <w:rFonts w:hint="eastAsia" w:ascii="仿宋_GB2312" w:hAnsi="仿宋_GB2312"/>
          <w:kern w:val="0"/>
          <w:sz w:val="32"/>
          <w:szCs w:val="32"/>
        </w:rPr>
        <w:t>完善综窗改革，编制标准</w:t>
      </w:r>
      <w:r>
        <w:rPr>
          <w:rFonts w:hint="eastAsia"/>
          <w:sz w:val="32"/>
          <w:szCs w:val="32"/>
        </w:rPr>
        <w:t>化规范化的办事指南，简化优化“网上办”“掌上办”服务事项流程</w:t>
      </w:r>
      <w:r>
        <w:rPr>
          <w:rFonts w:hint="eastAsia" w:ascii="仿宋_GB2312" w:hAnsi="仿宋_GB2312"/>
          <w:kern w:val="0"/>
          <w:sz w:val="32"/>
          <w:szCs w:val="32"/>
        </w:rPr>
        <w:t>，缩短经办服务时限</w:t>
      </w:r>
      <w:r>
        <w:rPr>
          <w:rFonts w:hint="eastAsia"/>
          <w:sz w:val="32"/>
          <w:szCs w:val="32"/>
        </w:rPr>
        <w:t>，</w:t>
      </w:r>
      <w:r>
        <w:rPr>
          <w:rFonts w:hint="eastAsia" w:ascii="仿宋_GB2312" w:hAnsi="仿宋_GB2312"/>
          <w:kern w:val="0"/>
          <w:sz w:val="32"/>
          <w:szCs w:val="32"/>
        </w:rPr>
        <w:t>提升“一窗通办”水平。提升</w:t>
      </w:r>
      <w:r>
        <w:rPr>
          <w:rFonts w:hint="eastAsia"/>
          <w:sz w:val="32"/>
          <w:szCs w:val="32"/>
        </w:rPr>
        <w:t>异地就医结算率，推动参保关系转移接续等高频事项“跨省通办”、“一网通办”和新生儿参保“一事联办”改革，持续提升异地就医经办服务水平。</w:t>
      </w:r>
      <w:r>
        <w:rPr>
          <w:rFonts w:hint="eastAsia" w:ascii="仿宋_GB2312" w:hAnsi="仿宋_GB2312"/>
          <w:kern w:val="0"/>
          <w:sz w:val="32"/>
          <w:szCs w:val="32"/>
        </w:rPr>
        <w:t>完善办事咨询服务体系，大力推进覆盖电话、网站、云上大冶APP、“12345”公共服务热线平台等渠道的咨询解答和预约办理服务体系。建立健全政务服务“好差评”制度，通过线上和线下相结合的方式，推进政务服务“一次一评”、“一事一评”，健全好评激励和差评整改机制。</w:t>
      </w:r>
    </w:p>
    <w:tbl>
      <w:tblPr>
        <w:tblStyle w:val="1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ind w:left="528" w:firstLine="0" w:firstLineChars="0"/>
              <w:rPr>
                <w:rFonts w:ascii="华文楷体" w:hAnsi="华文楷体" w:eastAsia="华文楷体"/>
                <w:szCs w:val="21"/>
              </w:rPr>
            </w:pPr>
            <w:r>
              <w:rPr>
                <w:rFonts w:hint="eastAsia"/>
                <w:b/>
                <w:bCs/>
                <w:szCs w:val="21"/>
              </w:rPr>
              <w:t>专栏</w:t>
            </w:r>
            <w:r>
              <w:rPr>
                <w:b/>
                <w:bCs/>
                <w:szCs w:val="21"/>
              </w:rPr>
              <w:t>6</w:t>
            </w:r>
            <w:r>
              <w:rPr>
                <w:rFonts w:hint="eastAsia"/>
                <w:b/>
                <w:bCs/>
                <w:szCs w:val="21"/>
              </w:rPr>
              <w:t xml:space="preserve"> </w:t>
            </w:r>
            <w:r>
              <w:rPr>
                <w:b/>
                <w:bCs/>
                <w:szCs w:val="21"/>
              </w:rPr>
              <w:t xml:space="preserve">                  </w:t>
            </w:r>
            <w:r>
              <w:rPr>
                <w:rFonts w:hint="eastAsia"/>
                <w:b/>
                <w:bCs/>
                <w:szCs w:val="21"/>
              </w:rPr>
              <w:t>医保经办服务水平提升工程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27"/>
              <w:numPr>
                <w:ilvl w:val="0"/>
                <w:numId w:val="5"/>
              </w:numPr>
              <w:ind w:firstLineChars="0"/>
              <w:rPr>
                <w:rFonts w:ascii="华文楷体" w:hAnsi="华文楷体" w:eastAsia="华文楷体"/>
                <w:b/>
                <w:bCs/>
                <w:szCs w:val="21"/>
              </w:rPr>
            </w:pPr>
            <w:r>
              <w:rPr>
                <w:rFonts w:hint="eastAsia" w:ascii="华文楷体" w:hAnsi="华文楷体" w:eastAsia="华文楷体"/>
                <w:bCs/>
                <w:szCs w:val="21"/>
              </w:rPr>
              <w:t>加强医保经办服务信息化建设。加大医保经办服务信息化建设的投入力度，实现医保参保、待遇支付、业务办理、信息查询等业务“一码通”。</w:t>
            </w:r>
          </w:p>
          <w:p>
            <w:pPr>
              <w:pStyle w:val="27"/>
              <w:numPr>
                <w:ilvl w:val="0"/>
                <w:numId w:val="5"/>
              </w:numPr>
              <w:ind w:firstLineChars="0"/>
              <w:rPr>
                <w:rFonts w:ascii="华文楷体" w:hAnsi="华文楷体" w:eastAsia="华文楷体"/>
                <w:b/>
                <w:bCs/>
                <w:szCs w:val="21"/>
              </w:rPr>
            </w:pPr>
            <w:r>
              <w:rPr>
                <w:rFonts w:hint="eastAsia" w:ascii="华文楷体" w:hAnsi="华文楷体" w:eastAsia="华文楷体"/>
                <w:bCs/>
                <w:szCs w:val="21"/>
              </w:rPr>
              <w:t>实行经办服务“好差评”制度。建立健全医保经办服务好评激励机制和差评、投诉问题调查核实、督促整改和反馈机制。及时公开医保经办服务情况、评价结果及整改情况等信息。</w:t>
            </w:r>
          </w:p>
          <w:p>
            <w:pPr>
              <w:pStyle w:val="27"/>
              <w:numPr>
                <w:ilvl w:val="0"/>
                <w:numId w:val="5"/>
              </w:numPr>
              <w:ind w:firstLineChars="0"/>
              <w:rPr>
                <w:rFonts w:ascii="华文楷体" w:hAnsi="华文楷体" w:eastAsia="华文楷体"/>
                <w:b/>
                <w:szCs w:val="21"/>
              </w:rPr>
            </w:pPr>
            <w:r>
              <w:rPr>
                <w:rFonts w:hint="eastAsia" w:ascii="华文楷体" w:hAnsi="华文楷体" w:eastAsia="华文楷体"/>
                <w:bCs/>
                <w:szCs w:val="21"/>
              </w:rPr>
              <w:t>提升全流程数字化服务水平。推动人工智能、大数据等新技术应用，鼓励发展诊间结算、床边结算、线上结算，推进医疗电子票据使用，探索建立慢性病互联网诊疗、第三方药品配送上门等服务新模式。</w:t>
            </w:r>
          </w:p>
          <w:p>
            <w:pPr>
              <w:pStyle w:val="27"/>
              <w:numPr>
                <w:ilvl w:val="0"/>
                <w:numId w:val="5"/>
              </w:numPr>
              <w:ind w:firstLineChars="0"/>
              <w:rPr>
                <w:rFonts w:ascii="华文楷体" w:hAnsi="华文楷体" w:eastAsia="华文楷体"/>
                <w:szCs w:val="21"/>
              </w:rPr>
            </w:pPr>
            <w:r>
              <w:rPr>
                <w:rFonts w:hint="eastAsia" w:ascii="华文楷体" w:hAnsi="华文楷体" w:eastAsia="华文楷体"/>
                <w:bCs/>
                <w:szCs w:val="21"/>
              </w:rPr>
              <w:t>提升医保经办服务适老化水平。完善综窗改革，配备引导人员提供咨询、指引等服务，保留传统服务方式，完善无障碍设施，畅通为老年人代办的线下渠道，积极推广“一站式”服务，优化网上办事流程，提供更多智能化线上服务。</w:t>
            </w:r>
          </w:p>
        </w:tc>
      </w:tr>
    </w:tbl>
    <w:p>
      <w:pPr>
        <w:pStyle w:val="5"/>
        <w:spacing w:line="415" w:lineRule="auto"/>
        <w:ind w:firstLine="643" w:firstLineChars="200"/>
      </w:pPr>
      <w:bookmarkStart w:id="42" w:name="_Toc110200817"/>
      <w:r>
        <w:rPr>
          <w:rFonts w:hint="eastAsia"/>
        </w:rPr>
        <w:t>四、健全医保协议管理制度</w:t>
      </w:r>
      <w:bookmarkEnd w:id="42"/>
    </w:p>
    <w:p>
      <w:pPr>
        <w:widowControl/>
        <w:ind w:firstLine="640" w:firstLineChars="200"/>
      </w:pPr>
      <w:r>
        <w:rPr>
          <w:rFonts w:hint="eastAsia"/>
          <w:sz w:val="32"/>
          <w:szCs w:val="32"/>
        </w:rPr>
        <w:t>落实国家两定机构定点管理办法，加强医保协议管理，制定医药机构定点管理实施细则，推动定点管理与医疗服务质量和协议履行挂钩。健全两定机构管理政策体系，简化优化医药机构定点申请、专业评估、协商谈判程序，优化两定机构布局，满足群众便捷化医药服务需求。加强考核监督，完善考核办法，强化评价结果使用，促进两定机构加强内部管理，提高技术水平和服务质量。健全医药机构与经办机构间信息沟通机制，促进医保管理精细化。</w:t>
      </w:r>
      <w:r>
        <w:rPr>
          <w:rFonts w:hint="eastAsia"/>
          <w:kern w:val="0"/>
          <w:sz w:val="32"/>
          <w:szCs w:val="32"/>
        </w:rPr>
        <w:t>落实国家谈判药品“双通道”政策，更好满足群众用药需求。</w:t>
      </w:r>
      <w:r>
        <w:rPr>
          <w:rFonts w:hint="eastAsia"/>
          <w:sz w:val="32"/>
          <w:szCs w:val="32"/>
        </w:rPr>
        <w:t>健全两定机构行为规范、服务质量和费用控制等多维评价机制，把评价结果与预算总额、监督检查、评优评先等工作相挂钩。</w:t>
      </w:r>
    </w:p>
    <w:p>
      <w:pPr>
        <w:pStyle w:val="5"/>
        <w:spacing w:line="415" w:lineRule="auto"/>
        <w:ind w:firstLine="643" w:firstLineChars="200"/>
      </w:pPr>
      <w:bookmarkStart w:id="43" w:name="_Toc110200818"/>
      <w:r>
        <w:rPr>
          <w:rFonts w:hint="eastAsia"/>
        </w:rPr>
        <w:t>五、加快医保信息化建设</w:t>
      </w:r>
      <w:bookmarkEnd w:id="43"/>
    </w:p>
    <w:p>
      <w:pPr>
        <w:widowControl/>
        <w:ind w:firstLine="640" w:firstLineChars="200"/>
        <w:rPr>
          <w:rFonts w:ascii="仿宋_GB2312" w:hAnsi="仿宋_GB2312"/>
          <w:kern w:val="0"/>
          <w:sz w:val="32"/>
          <w:szCs w:val="32"/>
        </w:rPr>
      </w:pPr>
      <w:r>
        <w:rPr>
          <w:rFonts w:hint="eastAsia" w:ascii="仿宋_GB2312" w:hAnsi="仿宋_GB2312"/>
          <w:kern w:val="0"/>
          <w:sz w:val="32"/>
          <w:szCs w:val="32"/>
        </w:rPr>
        <w:t>完善医保新信息系统功能，积极对接上级部门及信息运营商，加强国家医保信息系统基层适用性，开发使用相关功能模块。</w:t>
      </w:r>
      <w:r>
        <w:rPr>
          <w:rFonts w:hint="eastAsia"/>
          <w:sz w:val="32"/>
          <w:szCs w:val="32"/>
        </w:rPr>
        <w:t>积极推广医保电子凭证，</w:t>
      </w:r>
      <w:r>
        <w:rPr>
          <w:rFonts w:hint="eastAsia" w:ascii="仿宋_GB2312" w:hAnsi="仿宋_GB2312"/>
          <w:kern w:val="0"/>
          <w:sz w:val="32"/>
          <w:szCs w:val="32"/>
        </w:rPr>
        <w:t>提升医保电子凭证的普及率、激活率和使用率</w:t>
      </w:r>
      <w:r>
        <w:rPr>
          <w:rFonts w:hint="eastAsia"/>
          <w:sz w:val="32"/>
          <w:szCs w:val="32"/>
        </w:rPr>
        <w:t>。依托全国医保信息平台，加强对医保基础信息数据、结算数据、两定机构管理数据的采集、存储、清洗和使用。</w:t>
      </w:r>
      <w:r>
        <w:rPr>
          <w:rFonts w:hint="eastAsia" w:ascii="仿宋_GB2312" w:hAnsi="仿宋_GB2312"/>
          <w:kern w:val="0"/>
          <w:sz w:val="32"/>
          <w:szCs w:val="32"/>
        </w:rPr>
        <w:t>加强医保与人社、公安、民政等部门间的信息互通，促进数据共享。推进医保行政执法和执法监督信息化。探索建立“行政执法管理系统+手机端APP+执法终端”三位一体的智能化监管系统，推行网上办案和移动执法。规范数据管理和应用权限，依法保护数据安全。</w:t>
      </w:r>
    </w:p>
    <w:p>
      <w:pPr>
        <w:pStyle w:val="3"/>
        <w:jc w:val="center"/>
      </w:pPr>
      <w:bookmarkStart w:id="44" w:name="_Toc110200819"/>
      <w:r>
        <w:rPr>
          <w:rFonts w:hint="eastAsia"/>
        </w:rPr>
        <w:t xml:space="preserve">第四章 </w:t>
      </w:r>
      <w:r>
        <w:t xml:space="preserve"> </w:t>
      </w:r>
      <w:r>
        <w:rPr>
          <w:rFonts w:hint="eastAsia"/>
        </w:rPr>
        <w:t>保障措施</w:t>
      </w:r>
      <w:bookmarkEnd w:id="44"/>
    </w:p>
    <w:p>
      <w:pPr>
        <w:pStyle w:val="4"/>
        <w:jc w:val="center"/>
        <w:rPr>
          <w:shd w:val="clear" w:color="auto" w:fill="FFFFFF"/>
        </w:rPr>
      </w:pPr>
      <w:bookmarkStart w:id="45" w:name="_Toc110200820"/>
      <w:r>
        <w:rPr>
          <w:rFonts w:hint="eastAsia"/>
          <w:shd w:val="clear" w:color="auto" w:fill="FFFFFF"/>
        </w:rPr>
        <w:t xml:space="preserve">第一节 </w:t>
      </w:r>
      <w:r>
        <w:rPr>
          <w:shd w:val="clear" w:color="auto" w:fill="FFFFFF"/>
        </w:rPr>
        <w:t xml:space="preserve"> </w:t>
      </w:r>
      <w:r>
        <w:rPr>
          <w:rFonts w:hint="eastAsia"/>
          <w:shd w:val="clear" w:color="auto" w:fill="FFFFFF"/>
        </w:rPr>
        <w:t>加强组织领导</w:t>
      </w:r>
      <w:bookmarkEnd w:id="45"/>
    </w:p>
    <w:p>
      <w:pPr>
        <w:widowControl/>
        <w:ind w:firstLine="640" w:firstLineChars="200"/>
        <w:rPr>
          <w:sz w:val="32"/>
          <w:szCs w:val="32"/>
        </w:rPr>
      </w:pPr>
      <w:r>
        <w:rPr>
          <w:rFonts w:hint="eastAsia"/>
          <w:sz w:val="32"/>
          <w:szCs w:val="32"/>
        </w:rPr>
        <w:t>各级党委和政府要加强规划实施的组织领导和保障工作，强化政府落实规划的主体责任，将本规划主要指标纳入政府年度重点工作。制定规划各项目标任务分解方案和年度实施计划，积极推动规划有序落实。建立规划多部门协同推进机制，会同有关部门研究解决规划实施中跨层级、跨部门、跨区域、跨行业的重大问题，确保形成改革合力。</w:t>
      </w:r>
    </w:p>
    <w:p>
      <w:pPr>
        <w:pStyle w:val="4"/>
        <w:jc w:val="center"/>
        <w:rPr>
          <w:shd w:val="clear" w:color="auto" w:fill="FFFFFF"/>
        </w:rPr>
      </w:pPr>
      <w:bookmarkStart w:id="46" w:name="_Toc110200821"/>
      <w:r>
        <w:rPr>
          <w:rFonts w:hint="eastAsia"/>
          <w:shd w:val="clear" w:color="auto" w:fill="FFFFFF"/>
        </w:rPr>
        <w:t>第二节  落实财政保障</w:t>
      </w:r>
      <w:bookmarkEnd w:id="46"/>
    </w:p>
    <w:p>
      <w:pPr>
        <w:widowControl/>
        <w:ind w:firstLine="640" w:firstLineChars="200"/>
        <w:rPr>
          <w:sz w:val="32"/>
          <w:szCs w:val="32"/>
        </w:rPr>
      </w:pPr>
      <w:r>
        <w:rPr>
          <w:rFonts w:hint="eastAsia"/>
          <w:sz w:val="32"/>
          <w:szCs w:val="32"/>
        </w:rPr>
        <w:t>加强财政预算与规划实施的协调衔接，完善财政对医疗保障事业发展的持续投入机制，加大对医疗保障事业重大改革、重点项目和重大活动的财政投入力度。健全医疗保障资金使用管理和项目建设规范，提高财政资金使用管理的科学性和规范性。加强财政资金使用监督管理和绩效评价，确保医疗保障事业财政投入资金合理高效使用。</w:t>
      </w:r>
    </w:p>
    <w:p>
      <w:pPr>
        <w:pStyle w:val="4"/>
        <w:jc w:val="center"/>
        <w:rPr>
          <w:shd w:val="clear" w:color="auto" w:fill="FFFFFF"/>
        </w:rPr>
      </w:pPr>
      <w:bookmarkStart w:id="47" w:name="_Toc110200822"/>
      <w:r>
        <w:rPr>
          <w:rFonts w:hint="eastAsia"/>
          <w:shd w:val="clear" w:color="auto" w:fill="FFFFFF"/>
        </w:rPr>
        <w:t xml:space="preserve">第三节 </w:t>
      </w:r>
      <w:r>
        <w:rPr>
          <w:shd w:val="clear" w:color="auto" w:fill="FFFFFF"/>
        </w:rPr>
        <w:t xml:space="preserve"> </w:t>
      </w:r>
      <w:r>
        <w:rPr>
          <w:rFonts w:hint="eastAsia"/>
          <w:shd w:val="clear" w:color="auto" w:fill="FFFFFF"/>
        </w:rPr>
        <w:t>做好监测评估</w:t>
      </w:r>
      <w:bookmarkEnd w:id="47"/>
    </w:p>
    <w:p>
      <w:pPr>
        <w:pStyle w:val="8"/>
        <w:ind w:firstLine="640"/>
        <w:rPr>
          <w:rFonts w:ascii="仿宋_GB2312" w:hAnsi="仿宋_GB2312"/>
          <w:kern w:val="0"/>
          <w:sz w:val="32"/>
          <w:szCs w:val="32"/>
        </w:rPr>
      </w:pPr>
      <w:r>
        <w:rPr>
          <w:rFonts w:hint="eastAsia" w:ascii="仿宋_GB2312" w:hAnsi="仿宋_GB2312"/>
          <w:kern w:val="0"/>
          <w:sz w:val="32"/>
          <w:szCs w:val="32"/>
        </w:rPr>
        <w:t>建立规划实施评估机制，加强对规划实施情况的年度监测评估、中期评估和督促检查</w:t>
      </w:r>
      <w:r>
        <w:rPr>
          <w:rFonts w:ascii="仿宋_GB2312" w:hAnsi="仿宋_GB2312"/>
          <w:kern w:val="0"/>
          <w:sz w:val="32"/>
          <w:szCs w:val="32"/>
        </w:rPr>
        <w:t>。</w:t>
      </w:r>
      <w:r>
        <w:rPr>
          <w:rFonts w:hint="eastAsia" w:ascii="仿宋_GB2312" w:hAnsi="仿宋_GB2312"/>
          <w:kern w:val="0"/>
          <w:sz w:val="32"/>
          <w:szCs w:val="32"/>
        </w:rPr>
        <w:t>鼓励开展第三方评估，科学精准评估规划落实情况，并适时向社会公布评估结果，接受社会监督。针对</w:t>
      </w:r>
      <w:r>
        <w:rPr>
          <w:rFonts w:hint="eastAsia"/>
          <w:sz w:val="32"/>
          <w:szCs w:val="32"/>
        </w:rPr>
        <w:t>规划实施中出现的重大问题，及时制定解决方案，实现以评估促进规划落实的目标。将医保基金监管等规划重点任务完成情况，纳入政府绩效考核，确保规划实施不打折扣。</w:t>
      </w:r>
    </w:p>
    <w:p>
      <w:pPr>
        <w:pStyle w:val="4"/>
        <w:jc w:val="center"/>
        <w:rPr>
          <w:shd w:val="clear" w:color="auto" w:fill="FFFFFF"/>
        </w:rPr>
      </w:pPr>
      <w:bookmarkStart w:id="48" w:name="_Toc110200823"/>
      <w:r>
        <w:rPr>
          <w:rFonts w:hint="eastAsia"/>
          <w:shd w:val="clear" w:color="auto" w:fill="FFFFFF"/>
        </w:rPr>
        <w:t xml:space="preserve">第四节 </w:t>
      </w:r>
      <w:r>
        <w:rPr>
          <w:shd w:val="clear" w:color="auto" w:fill="FFFFFF"/>
        </w:rPr>
        <w:t xml:space="preserve"> </w:t>
      </w:r>
      <w:r>
        <w:rPr>
          <w:rFonts w:hint="eastAsia"/>
          <w:shd w:val="clear" w:color="auto" w:fill="FFFFFF"/>
        </w:rPr>
        <w:t>加强宣传引导</w:t>
      </w:r>
      <w:bookmarkEnd w:id="48"/>
    </w:p>
    <w:p>
      <w:pPr>
        <w:widowControl/>
        <w:ind w:firstLine="640" w:firstLineChars="200"/>
        <w:rPr>
          <w:sz w:val="32"/>
          <w:szCs w:val="32"/>
        </w:rPr>
      </w:pPr>
      <w:r>
        <w:rPr>
          <w:rFonts w:ascii="仿宋_GB2312" w:hAnsi="仿宋_GB2312"/>
          <w:kern w:val="0"/>
          <w:sz w:val="32"/>
          <w:szCs w:val="32"/>
        </w:rPr>
        <w:t>坚持正确政治导向，</w:t>
      </w:r>
      <w:r>
        <w:rPr>
          <w:rFonts w:hint="eastAsia" w:ascii="仿宋_GB2312" w:hAnsi="仿宋_GB2312"/>
          <w:kern w:val="0"/>
          <w:sz w:val="32"/>
          <w:szCs w:val="32"/>
        </w:rPr>
        <w:t>加大医疗保障法律法规和政策措施的宣传力度，提高参保群众政策知晓度。制度化、常态化地做好医疗保障信息公开和新闻发布，及时准确发布医疗保障权威信息，引导社会舆论，增进各方共识。及时回应社会关切，强化舆情监测和管理，合理引导社会预期。</w:t>
      </w:r>
      <w:r>
        <w:rPr>
          <w:rFonts w:hint="eastAsia"/>
          <w:sz w:val="32"/>
          <w:szCs w:val="32"/>
        </w:rPr>
        <w:t>通过新闻媒体、互联网等渠道，</w:t>
      </w:r>
      <w:r>
        <w:rPr>
          <w:sz w:val="32"/>
          <w:szCs w:val="32"/>
        </w:rPr>
        <w:t>大力营造</w:t>
      </w:r>
      <w:r>
        <w:rPr>
          <w:rFonts w:hint="eastAsia"/>
          <w:sz w:val="32"/>
          <w:szCs w:val="32"/>
        </w:rPr>
        <w:t>全市医疗保障事业</w:t>
      </w:r>
      <w:r>
        <w:rPr>
          <w:sz w:val="32"/>
          <w:szCs w:val="32"/>
        </w:rPr>
        <w:t>改革的良好氛围，充分调动各方支持配合规划实施的积极性和主动性，为规</w:t>
      </w:r>
      <w:r>
        <w:rPr>
          <w:rFonts w:hint="eastAsia"/>
          <w:sz w:val="32"/>
          <w:szCs w:val="32"/>
        </w:rPr>
        <w:t>划实施营造良好的外部环境。</w:t>
      </w:r>
    </w:p>
    <w:p>
      <w:pPr>
        <w:widowControl/>
        <w:jc w:val="left"/>
        <w:rPr>
          <w:sz w:val="32"/>
          <w:szCs w:val="32"/>
        </w:rPr>
      </w:pPr>
      <w:r>
        <w:rPr>
          <w:sz w:val="32"/>
          <w:szCs w:val="32"/>
        </w:rPr>
        <w:br w:type="page"/>
      </w:r>
    </w:p>
    <w:p>
      <w:pPr>
        <w:pStyle w:val="3"/>
        <w:jc w:val="center"/>
      </w:pPr>
      <w:bookmarkStart w:id="49" w:name="_Toc110200824"/>
      <w:r>
        <w:rPr>
          <w:rFonts w:hint="eastAsia"/>
        </w:rPr>
        <w:t>名词解释</w:t>
      </w:r>
      <w:bookmarkEnd w:id="4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政策，是指困难群众住院医疗费用个人实际报销比例达到90%不再有目录内和目录外之分，大病、特殊慢性病门诊目录内合规医疗费用个人实际报销比例达到80%，年度个人实际负担医疗费用（含住院及门诊）控制在5000元以内，超过部分由补充医疗保险进行报销。</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“两个确保”，是指确保患者不因医疗费用问题影响就医，确保收治医院不因医保支付政策影响救治。</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行政执法“三项制度”，是指行政执法公示制度、行政执法全过程记录制度和重大执法决定法制审核制度。</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sz w:val="32"/>
          <w:szCs w:val="32"/>
        </w:rPr>
        <w:t xml:space="preserve"> </w:t>
      </w:r>
      <w:r>
        <w:rPr>
          <w:rFonts w:hint="eastAsia" w:ascii="仿宋_GB2312" w:hAnsi="仿宋_GB2312" w:eastAsia="仿宋_GB2312" w:cs="仿宋_GB2312"/>
          <w:sz w:val="32"/>
          <w:szCs w:val="32"/>
        </w:rPr>
        <w:t>日间手术，是指患者按照诊疗计划在1日（24小时）内入、出院完成的手术或操作（不包括门诊手术），如因病情需要延期住院的特殊病例，住院时间不超过48小时。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“三假”，是指医疗服务中的假病人、假病情、假票据。</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两定机构，是指与市医疗保障局签订定点服务协议的定点医疗机构和定点零售药店。</w:t>
      </w:r>
    </w:p>
    <w:p>
      <w:pPr>
        <w:rPr>
          <w:sz w:val="32"/>
          <w:szCs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84872"/>
    </w:sdtPr>
    <w:sdtContent>
      <w:p>
        <w:pPr>
          <w:pStyle w:val="13"/>
          <w:jc w:val="center"/>
        </w:pPr>
        <w:r>
          <w:fldChar w:fldCharType="begin"/>
        </w:r>
        <w:r>
          <w:instrText xml:space="preserve">PAGE   \* MERGEFORMAT</w:instrText>
        </w:r>
        <w:r>
          <w:fldChar w:fldCharType="separate"/>
        </w:r>
        <w:r>
          <w:rPr>
            <w:lang w:val="zh-CN"/>
          </w:rPr>
          <w:t>36</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42004"/>
    <w:multiLevelType w:val="multilevel"/>
    <w:tmpl w:val="0E842004"/>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0150F5"/>
    <w:multiLevelType w:val="multilevel"/>
    <w:tmpl w:val="130150F5"/>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2D5513"/>
    <w:multiLevelType w:val="multilevel"/>
    <w:tmpl w:val="222D551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650245"/>
    <w:multiLevelType w:val="multilevel"/>
    <w:tmpl w:val="23650245"/>
    <w:lvl w:ilvl="0" w:tentative="0">
      <w:start w:val="1"/>
      <w:numFmt w:val="decimal"/>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0742D"/>
    <w:multiLevelType w:val="multilevel"/>
    <w:tmpl w:val="75D0742D"/>
    <w:lvl w:ilvl="0" w:tentative="0">
      <w:start w:val="1"/>
      <w:numFmt w:val="decimal"/>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ZGNjYjAzYWNmZGI3NmNiOTQ4ZmQyNDJhMjVjNzcifQ=="/>
  </w:docVars>
  <w:rsids>
    <w:rsidRoot w:val="27013446"/>
    <w:rsid w:val="00000700"/>
    <w:rsid w:val="00000EB4"/>
    <w:rsid w:val="00000F79"/>
    <w:rsid w:val="00002B06"/>
    <w:rsid w:val="00002DC3"/>
    <w:rsid w:val="00002ED6"/>
    <w:rsid w:val="000044E0"/>
    <w:rsid w:val="00004F93"/>
    <w:rsid w:val="0000669C"/>
    <w:rsid w:val="0000684B"/>
    <w:rsid w:val="0000688D"/>
    <w:rsid w:val="00007416"/>
    <w:rsid w:val="00007ED3"/>
    <w:rsid w:val="0001012B"/>
    <w:rsid w:val="000104AC"/>
    <w:rsid w:val="00010989"/>
    <w:rsid w:val="0001287D"/>
    <w:rsid w:val="000129FC"/>
    <w:rsid w:val="00013194"/>
    <w:rsid w:val="00013312"/>
    <w:rsid w:val="0001456A"/>
    <w:rsid w:val="00014894"/>
    <w:rsid w:val="000155FE"/>
    <w:rsid w:val="0001640D"/>
    <w:rsid w:val="00016D79"/>
    <w:rsid w:val="0002050D"/>
    <w:rsid w:val="00020D25"/>
    <w:rsid w:val="00021199"/>
    <w:rsid w:val="00021A36"/>
    <w:rsid w:val="000235BE"/>
    <w:rsid w:val="00024E43"/>
    <w:rsid w:val="00024FB2"/>
    <w:rsid w:val="00025399"/>
    <w:rsid w:val="000255DB"/>
    <w:rsid w:val="000257D5"/>
    <w:rsid w:val="00025FB0"/>
    <w:rsid w:val="0002635B"/>
    <w:rsid w:val="000268FD"/>
    <w:rsid w:val="00027514"/>
    <w:rsid w:val="00027574"/>
    <w:rsid w:val="000278A9"/>
    <w:rsid w:val="000304CE"/>
    <w:rsid w:val="0003073D"/>
    <w:rsid w:val="00031037"/>
    <w:rsid w:val="000315A9"/>
    <w:rsid w:val="000317A5"/>
    <w:rsid w:val="00031954"/>
    <w:rsid w:val="00031A1D"/>
    <w:rsid w:val="00031CC3"/>
    <w:rsid w:val="00032777"/>
    <w:rsid w:val="000331DB"/>
    <w:rsid w:val="0003443C"/>
    <w:rsid w:val="0003468A"/>
    <w:rsid w:val="00034AAE"/>
    <w:rsid w:val="000359BB"/>
    <w:rsid w:val="0003647D"/>
    <w:rsid w:val="00037A67"/>
    <w:rsid w:val="00040122"/>
    <w:rsid w:val="0004023F"/>
    <w:rsid w:val="00040FC0"/>
    <w:rsid w:val="0004199F"/>
    <w:rsid w:val="00041B7F"/>
    <w:rsid w:val="00042376"/>
    <w:rsid w:val="00042538"/>
    <w:rsid w:val="00042E6A"/>
    <w:rsid w:val="00043DEE"/>
    <w:rsid w:val="0004426C"/>
    <w:rsid w:val="0004458E"/>
    <w:rsid w:val="0004611E"/>
    <w:rsid w:val="0004686E"/>
    <w:rsid w:val="00046C7B"/>
    <w:rsid w:val="00047DA0"/>
    <w:rsid w:val="000500A5"/>
    <w:rsid w:val="0005026A"/>
    <w:rsid w:val="000508FE"/>
    <w:rsid w:val="00051045"/>
    <w:rsid w:val="00051DCC"/>
    <w:rsid w:val="00053270"/>
    <w:rsid w:val="000539CF"/>
    <w:rsid w:val="00053EE5"/>
    <w:rsid w:val="0005415A"/>
    <w:rsid w:val="000544DD"/>
    <w:rsid w:val="000544FE"/>
    <w:rsid w:val="0005495B"/>
    <w:rsid w:val="00054B28"/>
    <w:rsid w:val="00054B38"/>
    <w:rsid w:val="00054C89"/>
    <w:rsid w:val="000551C8"/>
    <w:rsid w:val="00055C66"/>
    <w:rsid w:val="00055E6A"/>
    <w:rsid w:val="00056343"/>
    <w:rsid w:val="000564C2"/>
    <w:rsid w:val="00056838"/>
    <w:rsid w:val="00056E28"/>
    <w:rsid w:val="00057B48"/>
    <w:rsid w:val="000606F4"/>
    <w:rsid w:val="00060CDF"/>
    <w:rsid w:val="00061197"/>
    <w:rsid w:val="00061267"/>
    <w:rsid w:val="00061AF5"/>
    <w:rsid w:val="00062654"/>
    <w:rsid w:val="0006278F"/>
    <w:rsid w:val="000628D5"/>
    <w:rsid w:val="00062F39"/>
    <w:rsid w:val="00063396"/>
    <w:rsid w:val="00063FB6"/>
    <w:rsid w:val="00065F2A"/>
    <w:rsid w:val="000668AD"/>
    <w:rsid w:val="000705EB"/>
    <w:rsid w:val="00070ACB"/>
    <w:rsid w:val="00071AEF"/>
    <w:rsid w:val="00071C32"/>
    <w:rsid w:val="000723E5"/>
    <w:rsid w:val="00073CB9"/>
    <w:rsid w:val="00075F2E"/>
    <w:rsid w:val="00076343"/>
    <w:rsid w:val="000767ED"/>
    <w:rsid w:val="000769B4"/>
    <w:rsid w:val="00076C0A"/>
    <w:rsid w:val="00077211"/>
    <w:rsid w:val="00077F32"/>
    <w:rsid w:val="000809CC"/>
    <w:rsid w:val="00081367"/>
    <w:rsid w:val="000814FB"/>
    <w:rsid w:val="00081620"/>
    <w:rsid w:val="000816F0"/>
    <w:rsid w:val="00081FAD"/>
    <w:rsid w:val="00083967"/>
    <w:rsid w:val="0008445D"/>
    <w:rsid w:val="00084A03"/>
    <w:rsid w:val="00084A62"/>
    <w:rsid w:val="0008573C"/>
    <w:rsid w:val="00087D8C"/>
    <w:rsid w:val="00090478"/>
    <w:rsid w:val="00092EFC"/>
    <w:rsid w:val="00092FF3"/>
    <w:rsid w:val="0009311A"/>
    <w:rsid w:val="00094445"/>
    <w:rsid w:val="000948AA"/>
    <w:rsid w:val="000959A3"/>
    <w:rsid w:val="00095FC7"/>
    <w:rsid w:val="00096428"/>
    <w:rsid w:val="000972D8"/>
    <w:rsid w:val="0009735C"/>
    <w:rsid w:val="00097D04"/>
    <w:rsid w:val="000A01FE"/>
    <w:rsid w:val="000A0A8F"/>
    <w:rsid w:val="000A0B82"/>
    <w:rsid w:val="000A235A"/>
    <w:rsid w:val="000A321F"/>
    <w:rsid w:val="000A374A"/>
    <w:rsid w:val="000A40D5"/>
    <w:rsid w:val="000A5F8B"/>
    <w:rsid w:val="000A6233"/>
    <w:rsid w:val="000A75BD"/>
    <w:rsid w:val="000A75E8"/>
    <w:rsid w:val="000A772F"/>
    <w:rsid w:val="000B05C5"/>
    <w:rsid w:val="000B13E7"/>
    <w:rsid w:val="000B1725"/>
    <w:rsid w:val="000B26DF"/>
    <w:rsid w:val="000B2EB7"/>
    <w:rsid w:val="000B3232"/>
    <w:rsid w:val="000B3FDC"/>
    <w:rsid w:val="000B460D"/>
    <w:rsid w:val="000B468D"/>
    <w:rsid w:val="000B49F9"/>
    <w:rsid w:val="000B4C8F"/>
    <w:rsid w:val="000B5212"/>
    <w:rsid w:val="000B56FF"/>
    <w:rsid w:val="000B5A95"/>
    <w:rsid w:val="000B5E6F"/>
    <w:rsid w:val="000B66E1"/>
    <w:rsid w:val="000B66F8"/>
    <w:rsid w:val="000B6912"/>
    <w:rsid w:val="000B693F"/>
    <w:rsid w:val="000B6A97"/>
    <w:rsid w:val="000B6C09"/>
    <w:rsid w:val="000B7596"/>
    <w:rsid w:val="000C0C65"/>
    <w:rsid w:val="000C0FB7"/>
    <w:rsid w:val="000C1391"/>
    <w:rsid w:val="000C163A"/>
    <w:rsid w:val="000C1EF2"/>
    <w:rsid w:val="000C228F"/>
    <w:rsid w:val="000C2A01"/>
    <w:rsid w:val="000C3E72"/>
    <w:rsid w:val="000C42B1"/>
    <w:rsid w:val="000C42CA"/>
    <w:rsid w:val="000C763A"/>
    <w:rsid w:val="000C768D"/>
    <w:rsid w:val="000D0B69"/>
    <w:rsid w:val="000D117F"/>
    <w:rsid w:val="000D141E"/>
    <w:rsid w:val="000D2605"/>
    <w:rsid w:val="000D2F1A"/>
    <w:rsid w:val="000D33A6"/>
    <w:rsid w:val="000D34E1"/>
    <w:rsid w:val="000D4FB5"/>
    <w:rsid w:val="000D4FCF"/>
    <w:rsid w:val="000D622B"/>
    <w:rsid w:val="000D6CEC"/>
    <w:rsid w:val="000D70D2"/>
    <w:rsid w:val="000D794B"/>
    <w:rsid w:val="000D7DD0"/>
    <w:rsid w:val="000E03BD"/>
    <w:rsid w:val="000E10DD"/>
    <w:rsid w:val="000E169F"/>
    <w:rsid w:val="000E2B2A"/>
    <w:rsid w:val="000E3210"/>
    <w:rsid w:val="000E5C59"/>
    <w:rsid w:val="000E7DEB"/>
    <w:rsid w:val="000F000D"/>
    <w:rsid w:val="000F0AE8"/>
    <w:rsid w:val="000F101F"/>
    <w:rsid w:val="000F12C5"/>
    <w:rsid w:val="000F16E7"/>
    <w:rsid w:val="000F1AF7"/>
    <w:rsid w:val="000F3CC4"/>
    <w:rsid w:val="000F410A"/>
    <w:rsid w:val="000F44CD"/>
    <w:rsid w:val="000F47F6"/>
    <w:rsid w:val="000F5678"/>
    <w:rsid w:val="000F5E68"/>
    <w:rsid w:val="000F6EA5"/>
    <w:rsid w:val="000F7ED4"/>
    <w:rsid w:val="000F7FB1"/>
    <w:rsid w:val="0010067F"/>
    <w:rsid w:val="00100CAD"/>
    <w:rsid w:val="00101069"/>
    <w:rsid w:val="0010121B"/>
    <w:rsid w:val="00101260"/>
    <w:rsid w:val="00101898"/>
    <w:rsid w:val="00102032"/>
    <w:rsid w:val="00102649"/>
    <w:rsid w:val="00102AF2"/>
    <w:rsid w:val="00102D14"/>
    <w:rsid w:val="00102F55"/>
    <w:rsid w:val="00103778"/>
    <w:rsid w:val="00103CFE"/>
    <w:rsid w:val="001048BF"/>
    <w:rsid w:val="001059BD"/>
    <w:rsid w:val="00105B1F"/>
    <w:rsid w:val="00105F6B"/>
    <w:rsid w:val="00106632"/>
    <w:rsid w:val="001066D9"/>
    <w:rsid w:val="00107B48"/>
    <w:rsid w:val="00110010"/>
    <w:rsid w:val="00110392"/>
    <w:rsid w:val="001103A0"/>
    <w:rsid w:val="00110550"/>
    <w:rsid w:val="00110917"/>
    <w:rsid w:val="00110CA5"/>
    <w:rsid w:val="00111629"/>
    <w:rsid w:val="00114682"/>
    <w:rsid w:val="00114969"/>
    <w:rsid w:val="00115CE3"/>
    <w:rsid w:val="00115FD5"/>
    <w:rsid w:val="00116408"/>
    <w:rsid w:val="00116695"/>
    <w:rsid w:val="001174A5"/>
    <w:rsid w:val="00121558"/>
    <w:rsid w:val="00121D91"/>
    <w:rsid w:val="00122699"/>
    <w:rsid w:val="00122C23"/>
    <w:rsid w:val="00122EB9"/>
    <w:rsid w:val="00123259"/>
    <w:rsid w:val="00123695"/>
    <w:rsid w:val="00126243"/>
    <w:rsid w:val="0012649D"/>
    <w:rsid w:val="001265C9"/>
    <w:rsid w:val="001268B2"/>
    <w:rsid w:val="00126C93"/>
    <w:rsid w:val="00127377"/>
    <w:rsid w:val="00127A6C"/>
    <w:rsid w:val="00127D35"/>
    <w:rsid w:val="001305FB"/>
    <w:rsid w:val="00130BA2"/>
    <w:rsid w:val="00130EBD"/>
    <w:rsid w:val="00130EE9"/>
    <w:rsid w:val="00131439"/>
    <w:rsid w:val="001318BF"/>
    <w:rsid w:val="00131931"/>
    <w:rsid w:val="00131BF7"/>
    <w:rsid w:val="00134452"/>
    <w:rsid w:val="0013526A"/>
    <w:rsid w:val="00135AFB"/>
    <w:rsid w:val="00135B80"/>
    <w:rsid w:val="0013709E"/>
    <w:rsid w:val="00140414"/>
    <w:rsid w:val="001410DF"/>
    <w:rsid w:val="00142B18"/>
    <w:rsid w:val="0014302F"/>
    <w:rsid w:val="0014381F"/>
    <w:rsid w:val="0014440A"/>
    <w:rsid w:val="00144681"/>
    <w:rsid w:val="00144B29"/>
    <w:rsid w:val="0014529C"/>
    <w:rsid w:val="00145584"/>
    <w:rsid w:val="00146576"/>
    <w:rsid w:val="00146698"/>
    <w:rsid w:val="0014671A"/>
    <w:rsid w:val="00150F07"/>
    <w:rsid w:val="00150FAB"/>
    <w:rsid w:val="00150FE4"/>
    <w:rsid w:val="00151951"/>
    <w:rsid w:val="00151A62"/>
    <w:rsid w:val="00152E59"/>
    <w:rsid w:val="001537C0"/>
    <w:rsid w:val="00153A21"/>
    <w:rsid w:val="00153B77"/>
    <w:rsid w:val="00153FBC"/>
    <w:rsid w:val="0015430F"/>
    <w:rsid w:val="001566C3"/>
    <w:rsid w:val="00156DF4"/>
    <w:rsid w:val="001572CD"/>
    <w:rsid w:val="0015747F"/>
    <w:rsid w:val="00157623"/>
    <w:rsid w:val="001576A1"/>
    <w:rsid w:val="00157DAA"/>
    <w:rsid w:val="00160961"/>
    <w:rsid w:val="00160C0A"/>
    <w:rsid w:val="00163506"/>
    <w:rsid w:val="001637B1"/>
    <w:rsid w:val="00163E8E"/>
    <w:rsid w:val="00164237"/>
    <w:rsid w:val="00165A75"/>
    <w:rsid w:val="00165FFA"/>
    <w:rsid w:val="001671A9"/>
    <w:rsid w:val="00172289"/>
    <w:rsid w:val="0017295E"/>
    <w:rsid w:val="00172A08"/>
    <w:rsid w:val="00173386"/>
    <w:rsid w:val="00173774"/>
    <w:rsid w:val="00173DF9"/>
    <w:rsid w:val="00173F86"/>
    <w:rsid w:val="00174113"/>
    <w:rsid w:val="0017534D"/>
    <w:rsid w:val="001757A2"/>
    <w:rsid w:val="001763BB"/>
    <w:rsid w:val="001769C5"/>
    <w:rsid w:val="00176C16"/>
    <w:rsid w:val="00176EE1"/>
    <w:rsid w:val="00177062"/>
    <w:rsid w:val="00177B93"/>
    <w:rsid w:val="00180BEA"/>
    <w:rsid w:val="00180FFC"/>
    <w:rsid w:val="001815BB"/>
    <w:rsid w:val="00181B2D"/>
    <w:rsid w:val="00182575"/>
    <w:rsid w:val="001829BB"/>
    <w:rsid w:val="001844C6"/>
    <w:rsid w:val="001860B8"/>
    <w:rsid w:val="00186213"/>
    <w:rsid w:val="001863AD"/>
    <w:rsid w:val="00186C91"/>
    <w:rsid w:val="00186EE6"/>
    <w:rsid w:val="00187311"/>
    <w:rsid w:val="00187316"/>
    <w:rsid w:val="0018796C"/>
    <w:rsid w:val="00187EBF"/>
    <w:rsid w:val="0019006C"/>
    <w:rsid w:val="001911C5"/>
    <w:rsid w:val="00191447"/>
    <w:rsid w:val="00191D9C"/>
    <w:rsid w:val="001927B5"/>
    <w:rsid w:val="00192B81"/>
    <w:rsid w:val="00192CBA"/>
    <w:rsid w:val="00194FC8"/>
    <w:rsid w:val="00195007"/>
    <w:rsid w:val="0019597C"/>
    <w:rsid w:val="00196997"/>
    <w:rsid w:val="001978B5"/>
    <w:rsid w:val="00197BB8"/>
    <w:rsid w:val="00197EB5"/>
    <w:rsid w:val="001A05F9"/>
    <w:rsid w:val="001A0BCE"/>
    <w:rsid w:val="001A0CDB"/>
    <w:rsid w:val="001A1137"/>
    <w:rsid w:val="001A4236"/>
    <w:rsid w:val="001A4237"/>
    <w:rsid w:val="001A4A0A"/>
    <w:rsid w:val="001A4F02"/>
    <w:rsid w:val="001A55A0"/>
    <w:rsid w:val="001A5BF5"/>
    <w:rsid w:val="001A65D5"/>
    <w:rsid w:val="001A7637"/>
    <w:rsid w:val="001A787E"/>
    <w:rsid w:val="001B0810"/>
    <w:rsid w:val="001B0E26"/>
    <w:rsid w:val="001B1556"/>
    <w:rsid w:val="001B1956"/>
    <w:rsid w:val="001B21B4"/>
    <w:rsid w:val="001B39A8"/>
    <w:rsid w:val="001B429E"/>
    <w:rsid w:val="001B5ABA"/>
    <w:rsid w:val="001B5E26"/>
    <w:rsid w:val="001B64D9"/>
    <w:rsid w:val="001B6AC7"/>
    <w:rsid w:val="001B6EED"/>
    <w:rsid w:val="001B7219"/>
    <w:rsid w:val="001C07C8"/>
    <w:rsid w:val="001C34B3"/>
    <w:rsid w:val="001C494B"/>
    <w:rsid w:val="001C566F"/>
    <w:rsid w:val="001C5FDC"/>
    <w:rsid w:val="001C74D6"/>
    <w:rsid w:val="001C7B1D"/>
    <w:rsid w:val="001C7EC7"/>
    <w:rsid w:val="001D1585"/>
    <w:rsid w:val="001D2848"/>
    <w:rsid w:val="001D3737"/>
    <w:rsid w:val="001D3ED2"/>
    <w:rsid w:val="001D445F"/>
    <w:rsid w:val="001D495F"/>
    <w:rsid w:val="001D4A8B"/>
    <w:rsid w:val="001D520C"/>
    <w:rsid w:val="001D5AA0"/>
    <w:rsid w:val="001D6E4B"/>
    <w:rsid w:val="001D7D96"/>
    <w:rsid w:val="001D7E90"/>
    <w:rsid w:val="001E01A2"/>
    <w:rsid w:val="001E03B3"/>
    <w:rsid w:val="001E0B8C"/>
    <w:rsid w:val="001E1503"/>
    <w:rsid w:val="001E18FB"/>
    <w:rsid w:val="001E1B5A"/>
    <w:rsid w:val="001E2298"/>
    <w:rsid w:val="001E2538"/>
    <w:rsid w:val="001E2740"/>
    <w:rsid w:val="001E28FF"/>
    <w:rsid w:val="001E3153"/>
    <w:rsid w:val="001E3A56"/>
    <w:rsid w:val="001E3DEB"/>
    <w:rsid w:val="001E42AA"/>
    <w:rsid w:val="001E4D87"/>
    <w:rsid w:val="001E547F"/>
    <w:rsid w:val="001E58A7"/>
    <w:rsid w:val="001E5E14"/>
    <w:rsid w:val="001E5E96"/>
    <w:rsid w:val="001E66CD"/>
    <w:rsid w:val="001E6A6B"/>
    <w:rsid w:val="001E6D84"/>
    <w:rsid w:val="001E71EB"/>
    <w:rsid w:val="001E72E8"/>
    <w:rsid w:val="001F2A19"/>
    <w:rsid w:val="001F4325"/>
    <w:rsid w:val="001F5182"/>
    <w:rsid w:val="001F7261"/>
    <w:rsid w:val="001F7BFC"/>
    <w:rsid w:val="00200266"/>
    <w:rsid w:val="002012A0"/>
    <w:rsid w:val="00201839"/>
    <w:rsid w:val="00201B62"/>
    <w:rsid w:val="002022AA"/>
    <w:rsid w:val="00202DAD"/>
    <w:rsid w:val="002035F4"/>
    <w:rsid w:val="00203758"/>
    <w:rsid w:val="002046D9"/>
    <w:rsid w:val="00204730"/>
    <w:rsid w:val="002058B9"/>
    <w:rsid w:val="002058D9"/>
    <w:rsid w:val="00206446"/>
    <w:rsid w:val="002068BE"/>
    <w:rsid w:val="00206974"/>
    <w:rsid w:val="002070EC"/>
    <w:rsid w:val="00207920"/>
    <w:rsid w:val="00210820"/>
    <w:rsid w:val="00213E52"/>
    <w:rsid w:val="002147B4"/>
    <w:rsid w:val="002148F0"/>
    <w:rsid w:val="00214AB7"/>
    <w:rsid w:val="00214DB1"/>
    <w:rsid w:val="00215660"/>
    <w:rsid w:val="0021611B"/>
    <w:rsid w:val="00216A1D"/>
    <w:rsid w:val="00216AF9"/>
    <w:rsid w:val="00217881"/>
    <w:rsid w:val="00217E04"/>
    <w:rsid w:val="00221004"/>
    <w:rsid w:val="00221064"/>
    <w:rsid w:val="002219BC"/>
    <w:rsid w:val="002232FF"/>
    <w:rsid w:val="0022372B"/>
    <w:rsid w:val="002240A8"/>
    <w:rsid w:val="00224BD7"/>
    <w:rsid w:val="00224BDF"/>
    <w:rsid w:val="0022611D"/>
    <w:rsid w:val="0022636B"/>
    <w:rsid w:val="00226D46"/>
    <w:rsid w:val="00230125"/>
    <w:rsid w:val="00230851"/>
    <w:rsid w:val="002318F3"/>
    <w:rsid w:val="00231DE8"/>
    <w:rsid w:val="0023335E"/>
    <w:rsid w:val="00233A7A"/>
    <w:rsid w:val="00233B31"/>
    <w:rsid w:val="00236CD7"/>
    <w:rsid w:val="00237BED"/>
    <w:rsid w:val="00237EA9"/>
    <w:rsid w:val="002401AD"/>
    <w:rsid w:val="0024135F"/>
    <w:rsid w:val="00242957"/>
    <w:rsid w:val="00242E54"/>
    <w:rsid w:val="0024311D"/>
    <w:rsid w:val="002437C9"/>
    <w:rsid w:val="002447C6"/>
    <w:rsid w:val="0024522C"/>
    <w:rsid w:val="00245865"/>
    <w:rsid w:val="00245B8A"/>
    <w:rsid w:val="00245D29"/>
    <w:rsid w:val="00245EFC"/>
    <w:rsid w:val="00246293"/>
    <w:rsid w:val="00246D1D"/>
    <w:rsid w:val="00251BC7"/>
    <w:rsid w:val="00251CFC"/>
    <w:rsid w:val="00252B37"/>
    <w:rsid w:val="002554BC"/>
    <w:rsid w:val="00255A01"/>
    <w:rsid w:val="00255A12"/>
    <w:rsid w:val="00255C98"/>
    <w:rsid w:val="00256398"/>
    <w:rsid w:val="002565CE"/>
    <w:rsid w:val="002573C8"/>
    <w:rsid w:val="00257742"/>
    <w:rsid w:val="00257F28"/>
    <w:rsid w:val="002603C0"/>
    <w:rsid w:val="002605D1"/>
    <w:rsid w:val="00260A19"/>
    <w:rsid w:val="00262698"/>
    <w:rsid w:val="0026332A"/>
    <w:rsid w:val="00263907"/>
    <w:rsid w:val="00263B44"/>
    <w:rsid w:val="0026416C"/>
    <w:rsid w:val="00264795"/>
    <w:rsid w:val="002662D7"/>
    <w:rsid w:val="00266BCE"/>
    <w:rsid w:val="00266CF1"/>
    <w:rsid w:val="00270747"/>
    <w:rsid w:val="002707A4"/>
    <w:rsid w:val="002709E3"/>
    <w:rsid w:val="00271036"/>
    <w:rsid w:val="002727E7"/>
    <w:rsid w:val="002729CA"/>
    <w:rsid w:val="00272BC0"/>
    <w:rsid w:val="002753C6"/>
    <w:rsid w:val="00275EB9"/>
    <w:rsid w:val="002765D8"/>
    <w:rsid w:val="00276888"/>
    <w:rsid w:val="00277070"/>
    <w:rsid w:val="0027725F"/>
    <w:rsid w:val="002777E4"/>
    <w:rsid w:val="00280056"/>
    <w:rsid w:val="00280CA5"/>
    <w:rsid w:val="00281E8D"/>
    <w:rsid w:val="002821A0"/>
    <w:rsid w:val="00282244"/>
    <w:rsid w:val="00283184"/>
    <w:rsid w:val="00283C1C"/>
    <w:rsid w:val="00283C73"/>
    <w:rsid w:val="0028466D"/>
    <w:rsid w:val="00284F3D"/>
    <w:rsid w:val="00285A6E"/>
    <w:rsid w:val="00285FB6"/>
    <w:rsid w:val="00286020"/>
    <w:rsid w:val="0028754C"/>
    <w:rsid w:val="00287FEE"/>
    <w:rsid w:val="00292772"/>
    <w:rsid w:val="0029349E"/>
    <w:rsid w:val="002941A4"/>
    <w:rsid w:val="00295003"/>
    <w:rsid w:val="00295868"/>
    <w:rsid w:val="00295F5B"/>
    <w:rsid w:val="00296552"/>
    <w:rsid w:val="0029665A"/>
    <w:rsid w:val="00296862"/>
    <w:rsid w:val="00296E32"/>
    <w:rsid w:val="002972C5"/>
    <w:rsid w:val="002977CC"/>
    <w:rsid w:val="002A0717"/>
    <w:rsid w:val="002A18F2"/>
    <w:rsid w:val="002A2540"/>
    <w:rsid w:val="002A2705"/>
    <w:rsid w:val="002A309F"/>
    <w:rsid w:val="002A4849"/>
    <w:rsid w:val="002A4D35"/>
    <w:rsid w:val="002A5D30"/>
    <w:rsid w:val="002A69ED"/>
    <w:rsid w:val="002A6D06"/>
    <w:rsid w:val="002A72C4"/>
    <w:rsid w:val="002A767F"/>
    <w:rsid w:val="002A7DA9"/>
    <w:rsid w:val="002B2705"/>
    <w:rsid w:val="002B2BE8"/>
    <w:rsid w:val="002B3BBF"/>
    <w:rsid w:val="002B42BF"/>
    <w:rsid w:val="002B45CB"/>
    <w:rsid w:val="002B4963"/>
    <w:rsid w:val="002B6352"/>
    <w:rsid w:val="002B674D"/>
    <w:rsid w:val="002B685D"/>
    <w:rsid w:val="002B6DAA"/>
    <w:rsid w:val="002B739E"/>
    <w:rsid w:val="002B75BC"/>
    <w:rsid w:val="002B767C"/>
    <w:rsid w:val="002C0195"/>
    <w:rsid w:val="002C08DE"/>
    <w:rsid w:val="002C0CDA"/>
    <w:rsid w:val="002C0FB4"/>
    <w:rsid w:val="002C1272"/>
    <w:rsid w:val="002C173D"/>
    <w:rsid w:val="002C1D77"/>
    <w:rsid w:val="002C20A1"/>
    <w:rsid w:val="002C29D9"/>
    <w:rsid w:val="002C2CDA"/>
    <w:rsid w:val="002C3A86"/>
    <w:rsid w:val="002C5339"/>
    <w:rsid w:val="002C5FE3"/>
    <w:rsid w:val="002C6315"/>
    <w:rsid w:val="002C718C"/>
    <w:rsid w:val="002D175B"/>
    <w:rsid w:val="002D178B"/>
    <w:rsid w:val="002D17E5"/>
    <w:rsid w:val="002D1E02"/>
    <w:rsid w:val="002D25BC"/>
    <w:rsid w:val="002D29A2"/>
    <w:rsid w:val="002D3278"/>
    <w:rsid w:val="002D4EB9"/>
    <w:rsid w:val="002D5263"/>
    <w:rsid w:val="002D574F"/>
    <w:rsid w:val="002D5926"/>
    <w:rsid w:val="002D641B"/>
    <w:rsid w:val="002D7D17"/>
    <w:rsid w:val="002E00B6"/>
    <w:rsid w:val="002E2111"/>
    <w:rsid w:val="002E2682"/>
    <w:rsid w:val="002E30DD"/>
    <w:rsid w:val="002E3BDE"/>
    <w:rsid w:val="002E3F57"/>
    <w:rsid w:val="002E4B3C"/>
    <w:rsid w:val="002E4DF1"/>
    <w:rsid w:val="002E5752"/>
    <w:rsid w:val="002E5896"/>
    <w:rsid w:val="002E6B99"/>
    <w:rsid w:val="002E6C57"/>
    <w:rsid w:val="002E7A44"/>
    <w:rsid w:val="002F084B"/>
    <w:rsid w:val="002F08D6"/>
    <w:rsid w:val="002F0ACE"/>
    <w:rsid w:val="002F0BFC"/>
    <w:rsid w:val="002F107A"/>
    <w:rsid w:val="002F1BC3"/>
    <w:rsid w:val="002F2276"/>
    <w:rsid w:val="002F2850"/>
    <w:rsid w:val="002F2ABE"/>
    <w:rsid w:val="002F3864"/>
    <w:rsid w:val="002F3A1A"/>
    <w:rsid w:val="002F3F7A"/>
    <w:rsid w:val="002F4BC9"/>
    <w:rsid w:val="002F5029"/>
    <w:rsid w:val="002F50C6"/>
    <w:rsid w:val="002F58E7"/>
    <w:rsid w:val="002F5F5A"/>
    <w:rsid w:val="002F60CE"/>
    <w:rsid w:val="002F6365"/>
    <w:rsid w:val="002F7069"/>
    <w:rsid w:val="00300E6E"/>
    <w:rsid w:val="00301387"/>
    <w:rsid w:val="003017BC"/>
    <w:rsid w:val="00301A51"/>
    <w:rsid w:val="0030279E"/>
    <w:rsid w:val="00302C6F"/>
    <w:rsid w:val="00303547"/>
    <w:rsid w:val="003042BC"/>
    <w:rsid w:val="0030448D"/>
    <w:rsid w:val="0030483C"/>
    <w:rsid w:val="00304ADE"/>
    <w:rsid w:val="00304E0D"/>
    <w:rsid w:val="00305644"/>
    <w:rsid w:val="0030566F"/>
    <w:rsid w:val="00305678"/>
    <w:rsid w:val="00307098"/>
    <w:rsid w:val="0030730F"/>
    <w:rsid w:val="00307C9A"/>
    <w:rsid w:val="003112B9"/>
    <w:rsid w:val="003114F5"/>
    <w:rsid w:val="0031249E"/>
    <w:rsid w:val="00312BC2"/>
    <w:rsid w:val="00313097"/>
    <w:rsid w:val="0031337B"/>
    <w:rsid w:val="003144D4"/>
    <w:rsid w:val="0031558A"/>
    <w:rsid w:val="00315B90"/>
    <w:rsid w:val="00315E50"/>
    <w:rsid w:val="003164DA"/>
    <w:rsid w:val="00316A41"/>
    <w:rsid w:val="00316DA1"/>
    <w:rsid w:val="00317418"/>
    <w:rsid w:val="003175A9"/>
    <w:rsid w:val="0032197F"/>
    <w:rsid w:val="00322F1C"/>
    <w:rsid w:val="00323058"/>
    <w:rsid w:val="00323226"/>
    <w:rsid w:val="0032346A"/>
    <w:rsid w:val="0032385D"/>
    <w:rsid w:val="0032394F"/>
    <w:rsid w:val="003240E0"/>
    <w:rsid w:val="0032437D"/>
    <w:rsid w:val="00324C29"/>
    <w:rsid w:val="00324FCE"/>
    <w:rsid w:val="003254A1"/>
    <w:rsid w:val="003263CB"/>
    <w:rsid w:val="0032678B"/>
    <w:rsid w:val="00326E4D"/>
    <w:rsid w:val="003276BE"/>
    <w:rsid w:val="003307DD"/>
    <w:rsid w:val="003308B4"/>
    <w:rsid w:val="003310B8"/>
    <w:rsid w:val="003319EE"/>
    <w:rsid w:val="00331A87"/>
    <w:rsid w:val="00331FCC"/>
    <w:rsid w:val="00331FDA"/>
    <w:rsid w:val="00332C31"/>
    <w:rsid w:val="003331B2"/>
    <w:rsid w:val="003334AD"/>
    <w:rsid w:val="0033356D"/>
    <w:rsid w:val="00335992"/>
    <w:rsid w:val="003366E0"/>
    <w:rsid w:val="00337655"/>
    <w:rsid w:val="003378DD"/>
    <w:rsid w:val="0033795C"/>
    <w:rsid w:val="003404CE"/>
    <w:rsid w:val="003406BA"/>
    <w:rsid w:val="00340D04"/>
    <w:rsid w:val="0034312F"/>
    <w:rsid w:val="003438D7"/>
    <w:rsid w:val="00344DE0"/>
    <w:rsid w:val="0034505D"/>
    <w:rsid w:val="0034534D"/>
    <w:rsid w:val="00345B98"/>
    <w:rsid w:val="0034653A"/>
    <w:rsid w:val="00346CB7"/>
    <w:rsid w:val="003473D5"/>
    <w:rsid w:val="00347BC7"/>
    <w:rsid w:val="00350D25"/>
    <w:rsid w:val="003510E8"/>
    <w:rsid w:val="0035137D"/>
    <w:rsid w:val="00351CC7"/>
    <w:rsid w:val="00352D98"/>
    <w:rsid w:val="00353C3F"/>
    <w:rsid w:val="00354DC1"/>
    <w:rsid w:val="0035509E"/>
    <w:rsid w:val="003553E4"/>
    <w:rsid w:val="00356989"/>
    <w:rsid w:val="00356E7B"/>
    <w:rsid w:val="00356F78"/>
    <w:rsid w:val="003570C6"/>
    <w:rsid w:val="00357656"/>
    <w:rsid w:val="00357BEB"/>
    <w:rsid w:val="00361111"/>
    <w:rsid w:val="0036143A"/>
    <w:rsid w:val="0036268D"/>
    <w:rsid w:val="00363220"/>
    <w:rsid w:val="003641C0"/>
    <w:rsid w:val="00364C58"/>
    <w:rsid w:val="00365051"/>
    <w:rsid w:val="0036505C"/>
    <w:rsid w:val="00365140"/>
    <w:rsid w:val="003654D1"/>
    <w:rsid w:val="0036624A"/>
    <w:rsid w:val="0036744C"/>
    <w:rsid w:val="003676C7"/>
    <w:rsid w:val="00367834"/>
    <w:rsid w:val="00370598"/>
    <w:rsid w:val="003705A7"/>
    <w:rsid w:val="003710BE"/>
    <w:rsid w:val="00371EB0"/>
    <w:rsid w:val="00371FC3"/>
    <w:rsid w:val="003721CB"/>
    <w:rsid w:val="003745CB"/>
    <w:rsid w:val="00375D26"/>
    <w:rsid w:val="0037663A"/>
    <w:rsid w:val="00376723"/>
    <w:rsid w:val="00377F9C"/>
    <w:rsid w:val="00381116"/>
    <w:rsid w:val="003822F0"/>
    <w:rsid w:val="00382508"/>
    <w:rsid w:val="003828BA"/>
    <w:rsid w:val="003837CE"/>
    <w:rsid w:val="0038398A"/>
    <w:rsid w:val="00384658"/>
    <w:rsid w:val="00384C1D"/>
    <w:rsid w:val="0038532F"/>
    <w:rsid w:val="003857D1"/>
    <w:rsid w:val="0038594D"/>
    <w:rsid w:val="00390702"/>
    <w:rsid w:val="00391617"/>
    <w:rsid w:val="00391E99"/>
    <w:rsid w:val="0039226E"/>
    <w:rsid w:val="00392BA9"/>
    <w:rsid w:val="00393348"/>
    <w:rsid w:val="00393645"/>
    <w:rsid w:val="003940D8"/>
    <w:rsid w:val="003942C6"/>
    <w:rsid w:val="00394EE4"/>
    <w:rsid w:val="00394EED"/>
    <w:rsid w:val="0039543E"/>
    <w:rsid w:val="00395C2F"/>
    <w:rsid w:val="003965CB"/>
    <w:rsid w:val="00397DBA"/>
    <w:rsid w:val="003A0B18"/>
    <w:rsid w:val="003A10E3"/>
    <w:rsid w:val="003A1421"/>
    <w:rsid w:val="003A1479"/>
    <w:rsid w:val="003A28A9"/>
    <w:rsid w:val="003A2921"/>
    <w:rsid w:val="003A38A1"/>
    <w:rsid w:val="003A3A4C"/>
    <w:rsid w:val="003A4E2C"/>
    <w:rsid w:val="003A5F7D"/>
    <w:rsid w:val="003A6E37"/>
    <w:rsid w:val="003A7959"/>
    <w:rsid w:val="003B040B"/>
    <w:rsid w:val="003B1A3E"/>
    <w:rsid w:val="003B2E18"/>
    <w:rsid w:val="003B4431"/>
    <w:rsid w:val="003B466E"/>
    <w:rsid w:val="003B4C96"/>
    <w:rsid w:val="003B5121"/>
    <w:rsid w:val="003B51D8"/>
    <w:rsid w:val="003B55E0"/>
    <w:rsid w:val="003B5A2F"/>
    <w:rsid w:val="003B5FA4"/>
    <w:rsid w:val="003B69FF"/>
    <w:rsid w:val="003B76A0"/>
    <w:rsid w:val="003C076C"/>
    <w:rsid w:val="003C21DF"/>
    <w:rsid w:val="003C2452"/>
    <w:rsid w:val="003C2738"/>
    <w:rsid w:val="003C2F73"/>
    <w:rsid w:val="003C4458"/>
    <w:rsid w:val="003C5B92"/>
    <w:rsid w:val="003C65F6"/>
    <w:rsid w:val="003C6B35"/>
    <w:rsid w:val="003C6CC2"/>
    <w:rsid w:val="003C6DF0"/>
    <w:rsid w:val="003C7785"/>
    <w:rsid w:val="003C7DD5"/>
    <w:rsid w:val="003D067C"/>
    <w:rsid w:val="003D07D8"/>
    <w:rsid w:val="003D098F"/>
    <w:rsid w:val="003D0CFA"/>
    <w:rsid w:val="003D17BD"/>
    <w:rsid w:val="003D1C37"/>
    <w:rsid w:val="003D2027"/>
    <w:rsid w:val="003D20A9"/>
    <w:rsid w:val="003D3024"/>
    <w:rsid w:val="003D31F6"/>
    <w:rsid w:val="003D3A2C"/>
    <w:rsid w:val="003D3B03"/>
    <w:rsid w:val="003D3C31"/>
    <w:rsid w:val="003D3EAC"/>
    <w:rsid w:val="003D4713"/>
    <w:rsid w:val="003D54FE"/>
    <w:rsid w:val="003D5B3D"/>
    <w:rsid w:val="003D6EF8"/>
    <w:rsid w:val="003D702C"/>
    <w:rsid w:val="003D7083"/>
    <w:rsid w:val="003D72CF"/>
    <w:rsid w:val="003E16EC"/>
    <w:rsid w:val="003E2A59"/>
    <w:rsid w:val="003E359B"/>
    <w:rsid w:val="003E36EF"/>
    <w:rsid w:val="003E3EC6"/>
    <w:rsid w:val="003E5886"/>
    <w:rsid w:val="003E67CF"/>
    <w:rsid w:val="003E7204"/>
    <w:rsid w:val="003E78C2"/>
    <w:rsid w:val="003E7E35"/>
    <w:rsid w:val="003F0701"/>
    <w:rsid w:val="003F0EB1"/>
    <w:rsid w:val="003F13DF"/>
    <w:rsid w:val="003F25F9"/>
    <w:rsid w:val="003F421A"/>
    <w:rsid w:val="003F49FF"/>
    <w:rsid w:val="003F5A55"/>
    <w:rsid w:val="003F6CC9"/>
    <w:rsid w:val="003F7C03"/>
    <w:rsid w:val="004008BF"/>
    <w:rsid w:val="00400956"/>
    <w:rsid w:val="00401170"/>
    <w:rsid w:val="00401882"/>
    <w:rsid w:val="00401AE8"/>
    <w:rsid w:val="00401ECB"/>
    <w:rsid w:val="004024A2"/>
    <w:rsid w:val="00402A4D"/>
    <w:rsid w:val="0040398E"/>
    <w:rsid w:val="0040453C"/>
    <w:rsid w:val="00404579"/>
    <w:rsid w:val="00406C53"/>
    <w:rsid w:val="00407442"/>
    <w:rsid w:val="00407AAD"/>
    <w:rsid w:val="00410765"/>
    <w:rsid w:val="004110AA"/>
    <w:rsid w:val="00413B3D"/>
    <w:rsid w:val="00414A4B"/>
    <w:rsid w:val="004153F2"/>
    <w:rsid w:val="00415639"/>
    <w:rsid w:val="004156B5"/>
    <w:rsid w:val="004159C8"/>
    <w:rsid w:val="00415EC8"/>
    <w:rsid w:val="0041683B"/>
    <w:rsid w:val="00417D64"/>
    <w:rsid w:val="00417F30"/>
    <w:rsid w:val="00420F50"/>
    <w:rsid w:val="00421340"/>
    <w:rsid w:val="00421799"/>
    <w:rsid w:val="00421EC1"/>
    <w:rsid w:val="00423C9A"/>
    <w:rsid w:val="00423FD8"/>
    <w:rsid w:val="00423FE0"/>
    <w:rsid w:val="00425009"/>
    <w:rsid w:val="00425713"/>
    <w:rsid w:val="00425E5E"/>
    <w:rsid w:val="0042650C"/>
    <w:rsid w:val="00426E7C"/>
    <w:rsid w:val="00430968"/>
    <w:rsid w:val="00431490"/>
    <w:rsid w:val="004318B5"/>
    <w:rsid w:val="00432C32"/>
    <w:rsid w:val="00433088"/>
    <w:rsid w:val="004333FC"/>
    <w:rsid w:val="00433724"/>
    <w:rsid w:val="004340D2"/>
    <w:rsid w:val="00434190"/>
    <w:rsid w:val="0043451A"/>
    <w:rsid w:val="00434776"/>
    <w:rsid w:val="004352F6"/>
    <w:rsid w:val="00436B22"/>
    <w:rsid w:val="00436B7E"/>
    <w:rsid w:val="004425F8"/>
    <w:rsid w:val="00442865"/>
    <w:rsid w:val="004428D4"/>
    <w:rsid w:val="00442B35"/>
    <w:rsid w:val="00442D1F"/>
    <w:rsid w:val="0044409A"/>
    <w:rsid w:val="004447DD"/>
    <w:rsid w:val="004448E9"/>
    <w:rsid w:val="00444EC7"/>
    <w:rsid w:val="00444FDB"/>
    <w:rsid w:val="00445BA9"/>
    <w:rsid w:val="00445D6E"/>
    <w:rsid w:val="0044651B"/>
    <w:rsid w:val="00450217"/>
    <w:rsid w:val="00451129"/>
    <w:rsid w:val="004511EF"/>
    <w:rsid w:val="00452C3F"/>
    <w:rsid w:val="0045385B"/>
    <w:rsid w:val="00453939"/>
    <w:rsid w:val="004539D5"/>
    <w:rsid w:val="00453C04"/>
    <w:rsid w:val="00454240"/>
    <w:rsid w:val="0045474D"/>
    <w:rsid w:val="004549C8"/>
    <w:rsid w:val="00454FDB"/>
    <w:rsid w:val="00455A2B"/>
    <w:rsid w:val="00455DBC"/>
    <w:rsid w:val="0045634B"/>
    <w:rsid w:val="004568CA"/>
    <w:rsid w:val="004571D4"/>
    <w:rsid w:val="004604B4"/>
    <w:rsid w:val="00460A91"/>
    <w:rsid w:val="0046187A"/>
    <w:rsid w:val="004624B8"/>
    <w:rsid w:val="0046268A"/>
    <w:rsid w:val="004646CD"/>
    <w:rsid w:val="00464787"/>
    <w:rsid w:val="00464FA2"/>
    <w:rsid w:val="0046528F"/>
    <w:rsid w:val="0046547F"/>
    <w:rsid w:val="00466C99"/>
    <w:rsid w:val="00466CD9"/>
    <w:rsid w:val="0046719C"/>
    <w:rsid w:val="00467767"/>
    <w:rsid w:val="004679EE"/>
    <w:rsid w:val="00467E06"/>
    <w:rsid w:val="00471558"/>
    <w:rsid w:val="0047168A"/>
    <w:rsid w:val="00472138"/>
    <w:rsid w:val="00472F6A"/>
    <w:rsid w:val="00473346"/>
    <w:rsid w:val="004739CB"/>
    <w:rsid w:val="004753F4"/>
    <w:rsid w:val="00475698"/>
    <w:rsid w:val="00475A98"/>
    <w:rsid w:val="00475DC6"/>
    <w:rsid w:val="004762FE"/>
    <w:rsid w:val="0047650C"/>
    <w:rsid w:val="004770A0"/>
    <w:rsid w:val="0047742B"/>
    <w:rsid w:val="004777B9"/>
    <w:rsid w:val="00477B02"/>
    <w:rsid w:val="004807B8"/>
    <w:rsid w:val="0048103B"/>
    <w:rsid w:val="00481714"/>
    <w:rsid w:val="00481CFA"/>
    <w:rsid w:val="00481DB3"/>
    <w:rsid w:val="00481E18"/>
    <w:rsid w:val="00482087"/>
    <w:rsid w:val="004821E5"/>
    <w:rsid w:val="00482388"/>
    <w:rsid w:val="00482CFC"/>
    <w:rsid w:val="00483675"/>
    <w:rsid w:val="00483A4D"/>
    <w:rsid w:val="00483B5D"/>
    <w:rsid w:val="0048492B"/>
    <w:rsid w:val="00484AE9"/>
    <w:rsid w:val="00484C04"/>
    <w:rsid w:val="0048650D"/>
    <w:rsid w:val="0048691D"/>
    <w:rsid w:val="00487831"/>
    <w:rsid w:val="00490101"/>
    <w:rsid w:val="00490266"/>
    <w:rsid w:val="00490823"/>
    <w:rsid w:val="00490CF4"/>
    <w:rsid w:val="004910DB"/>
    <w:rsid w:val="00491916"/>
    <w:rsid w:val="004924B4"/>
    <w:rsid w:val="00492EE7"/>
    <w:rsid w:val="00493DCA"/>
    <w:rsid w:val="00493ED3"/>
    <w:rsid w:val="004948B4"/>
    <w:rsid w:val="00495ACB"/>
    <w:rsid w:val="00495DFA"/>
    <w:rsid w:val="00495F2E"/>
    <w:rsid w:val="004962A9"/>
    <w:rsid w:val="00496448"/>
    <w:rsid w:val="00496DEC"/>
    <w:rsid w:val="00496FC6"/>
    <w:rsid w:val="00497596"/>
    <w:rsid w:val="0049785B"/>
    <w:rsid w:val="00497D63"/>
    <w:rsid w:val="004A0542"/>
    <w:rsid w:val="004A0B57"/>
    <w:rsid w:val="004A0ECA"/>
    <w:rsid w:val="004A1504"/>
    <w:rsid w:val="004A1627"/>
    <w:rsid w:val="004A1A96"/>
    <w:rsid w:val="004A21F4"/>
    <w:rsid w:val="004A436B"/>
    <w:rsid w:val="004A51C8"/>
    <w:rsid w:val="004A5E4E"/>
    <w:rsid w:val="004A6589"/>
    <w:rsid w:val="004A6FEE"/>
    <w:rsid w:val="004A7A78"/>
    <w:rsid w:val="004B0494"/>
    <w:rsid w:val="004B05DC"/>
    <w:rsid w:val="004B0E82"/>
    <w:rsid w:val="004B1747"/>
    <w:rsid w:val="004B2565"/>
    <w:rsid w:val="004B287D"/>
    <w:rsid w:val="004B2D14"/>
    <w:rsid w:val="004B3902"/>
    <w:rsid w:val="004B43BB"/>
    <w:rsid w:val="004B442F"/>
    <w:rsid w:val="004B4A87"/>
    <w:rsid w:val="004B5EFB"/>
    <w:rsid w:val="004B66A9"/>
    <w:rsid w:val="004B6CAA"/>
    <w:rsid w:val="004B7F23"/>
    <w:rsid w:val="004C04F2"/>
    <w:rsid w:val="004C072B"/>
    <w:rsid w:val="004C40BD"/>
    <w:rsid w:val="004C4C76"/>
    <w:rsid w:val="004D0B5D"/>
    <w:rsid w:val="004D256F"/>
    <w:rsid w:val="004D2C45"/>
    <w:rsid w:val="004D3859"/>
    <w:rsid w:val="004D3A59"/>
    <w:rsid w:val="004D494B"/>
    <w:rsid w:val="004D5189"/>
    <w:rsid w:val="004D5457"/>
    <w:rsid w:val="004D5783"/>
    <w:rsid w:val="004D6CF3"/>
    <w:rsid w:val="004D6F4A"/>
    <w:rsid w:val="004E057E"/>
    <w:rsid w:val="004E0E2A"/>
    <w:rsid w:val="004E10F1"/>
    <w:rsid w:val="004E18A0"/>
    <w:rsid w:val="004E21A2"/>
    <w:rsid w:val="004E2DAF"/>
    <w:rsid w:val="004E301A"/>
    <w:rsid w:val="004E33DA"/>
    <w:rsid w:val="004E35A4"/>
    <w:rsid w:val="004E39A3"/>
    <w:rsid w:val="004E3D03"/>
    <w:rsid w:val="004E4C0D"/>
    <w:rsid w:val="004E5228"/>
    <w:rsid w:val="004E5F61"/>
    <w:rsid w:val="004E6582"/>
    <w:rsid w:val="004F15ED"/>
    <w:rsid w:val="004F196E"/>
    <w:rsid w:val="004F2024"/>
    <w:rsid w:val="004F2162"/>
    <w:rsid w:val="004F2A94"/>
    <w:rsid w:val="004F2F37"/>
    <w:rsid w:val="004F37CC"/>
    <w:rsid w:val="004F42A3"/>
    <w:rsid w:val="004F4385"/>
    <w:rsid w:val="004F5757"/>
    <w:rsid w:val="004F710A"/>
    <w:rsid w:val="004F72B2"/>
    <w:rsid w:val="005003F2"/>
    <w:rsid w:val="00501F2A"/>
    <w:rsid w:val="005021DF"/>
    <w:rsid w:val="00502617"/>
    <w:rsid w:val="00502AB1"/>
    <w:rsid w:val="005031EF"/>
    <w:rsid w:val="00503745"/>
    <w:rsid w:val="00503B4A"/>
    <w:rsid w:val="0050413C"/>
    <w:rsid w:val="00504CC3"/>
    <w:rsid w:val="00505227"/>
    <w:rsid w:val="005053F8"/>
    <w:rsid w:val="00505641"/>
    <w:rsid w:val="0050594D"/>
    <w:rsid w:val="00506ED3"/>
    <w:rsid w:val="005114D2"/>
    <w:rsid w:val="00511920"/>
    <w:rsid w:val="00511E7D"/>
    <w:rsid w:val="005128EA"/>
    <w:rsid w:val="00512D70"/>
    <w:rsid w:val="0051450E"/>
    <w:rsid w:val="005148E4"/>
    <w:rsid w:val="00514F71"/>
    <w:rsid w:val="00516130"/>
    <w:rsid w:val="005167E1"/>
    <w:rsid w:val="00516F90"/>
    <w:rsid w:val="0051786B"/>
    <w:rsid w:val="00517E9C"/>
    <w:rsid w:val="005203F6"/>
    <w:rsid w:val="00520ACC"/>
    <w:rsid w:val="00520DC9"/>
    <w:rsid w:val="005221D6"/>
    <w:rsid w:val="00523176"/>
    <w:rsid w:val="00523687"/>
    <w:rsid w:val="00523D41"/>
    <w:rsid w:val="005245BE"/>
    <w:rsid w:val="005247EC"/>
    <w:rsid w:val="005250B7"/>
    <w:rsid w:val="005254BE"/>
    <w:rsid w:val="0052569D"/>
    <w:rsid w:val="00525EA1"/>
    <w:rsid w:val="005264CD"/>
    <w:rsid w:val="005265BA"/>
    <w:rsid w:val="00526E54"/>
    <w:rsid w:val="005270E6"/>
    <w:rsid w:val="0052785B"/>
    <w:rsid w:val="0053281B"/>
    <w:rsid w:val="00533213"/>
    <w:rsid w:val="0053390E"/>
    <w:rsid w:val="00533C43"/>
    <w:rsid w:val="00534102"/>
    <w:rsid w:val="0053460E"/>
    <w:rsid w:val="005350F0"/>
    <w:rsid w:val="005362FB"/>
    <w:rsid w:val="005364F9"/>
    <w:rsid w:val="00536B34"/>
    <w:rsid w:val="00536D99"/>
    <w:rsid w:val="00536F99"/>
    <w:rsid w:val="005401A9"/>
    <w:rsid w:val="00540AA5"/>
    <w:rsid w:val="00540B77"/>
    <w:rsid w:val="00540F57"/>
    <w:rsid w:val="00541391"/>
    <w:rsid w:val="005435BC"/>
    <w:rsid w:val="00543B7B"/>
    <w:rsid w:val="00543CC9"/>
    <w:rsid w:val="005441E4"/>
    <w:rsid w:val="00544705"/>
    <w:rsid w:val="0054500B"/>
    <w:rsid w:val="00545011"/>
    <w:rsid w:val="00545016"/>
    <w:rsid w:val="0054521A"/>
    <w:rsid w:val="00545375"/>
    <w:rsid w:val="00546E82"/>
    <w:rsid w:val="005503FA"/>
    <w:rsid w:val="00551A0B"/>
    <w:rsid w:val="00551ACC"/>
    <w:rsid w:val="005528F2"/>
    <w:rsid w:val="00552F57"/>
    <w:rsid w:val="00554377"/>
    <w:rsid w:val="00554B2A"/>
    <w:rsid w:val="00554BED"/>
    <w:rsid w:val="00554D28"/>
    <w:rsid w:val="0055519B"/>
    <w:rsid w:val="00555A6A"/>
    <w:rsid w:val="0055664F"/>
    <w:rsid w:val="00556F9D"/>
    <w:rsid w:val="00557F26"/>
    <w:rsid w:val="0056017F"/>
    <w:rsid w:val="00560415"/>
    <w:rsid w:val="00560914"/>
    <w:rsid w:val="005623DD"/>
    <w:rsid w:val="00562712"/>
    <w:rsid w:val="00562EDD"/>
    <w:rsid w:val="00563455"/>
    <w:rsid w:val="005644A5"/>
    <w:rsid w:val="00564856"/>
    <w:rsid w:val="00564D58"/>
    <w:rsid w:val="00564FAF"/>
    <w:rsid w:val="00564FC2"/>
    <w:rsid w:val="005662A5"/>
    <w:rsid w:val="005665CB"/>
    <w:rsid w:val="0057052D"/>
    <w:rsid w:val="00570EC8"/>
    <w:rsid w:val="0057234D"/>
    <w:rsid w:val="0057264F"/>
    <w:rsid w:val="00574171"/>
    <w:rsid w:val="0057448A"/>
    <w:rsid w:val="00576634"/>
    <w:rsid w:val="005768EC"/>
    <w:rsid w:val="005775AB"/>
    <w:rsid w:val="00577D0D"/>
    <w:rsid w:val="005803FA"/>
    <w:rsid w:val="00580CC6"/>
    <w:rsid w:val="00580F4C"/>
    <w:rsid w:val="0058121C"/>
    <w:rsid w:val="0058194A"/>
    <w:rsid w:val="00581C63"/>
    <w:rsid w:val="00582341"/>
    <w:rsid w:val="005831B7"/>
    <w:rsid w:val="00583404"/>
    <w:rsid w:val="00583B26"/>
    <w:rsid w:val="00583DDE"/>
    <w:rsid w:val="00584CA3"/>
    <w:rsid w:val="00585E31"/>
    <w:rsid w:val="00586810"/>
    <w:rsid w:val="00587712"/>
    <w:rsid w:val="005909BB"/>
    <w:rsid w:val="00590BB9"/>
    <w:rsid w:val="00590F5E"/>
    <w:rsid w:val="00591980"/>
    <w:rsid w:val="005919A1"/>
    <w:rsid w:val="005924D2"/>
    <w:rsid w:val="00592908"/>
    <w:rsid w:val="00592BB7"/>
    <w:rsid w:val="00593785"/>
    <w:rsid w:val="00593804"/>
    <w:rsid w:val="00593EA2"/>
    <w:rsid w:val="00595729"/>
    <w:rsid w:val="00596D36"/>
    <w:rsid w:val="0059787D"/>
    <w:rsid w:val="005A0F17"/>
    <w:rsid w:val="005A1463"/>
    <w:rsid w:val="005A20B0"/>
    <w:rsid w:val="005A2913"/>
    <w:rsid w:val="005A2960"/>
    <w:rsid w:val="005A29C4"/>
    <w:rsid w:val="005A32B8"/>
    <w:rsid w:val="005A4731"/>
    <w:rsid w:val="005A47C6"/>
    <w:rsid w:val="005A5712"/>
    <w:rsid w:val="005A584B"/>
    <w:rsid w:val="005A5D32"/>
    <w:rsid w:val="005A61F3"/>
    <w:rsid w:val="005A6674"/>
    <w:rsid w:val="005A68E1"/>
    <w:rsid w:val="005A69F8"/>
    <w:rsid w:val="005A6F50"/>
    <w:rsid w:val="005B0138"/>
    <w:rsid w:val="005B0ACA"/>
    <w:rsid w:val="005B1583"/>
    <w:rsid w:val="005B1D0B"/>
    <w:rsid w:val="005B2683"/>
    <w:rsid w:val="005B32C5"/>
    <w:rsid w:val="005B3818"/>
    <w:rsid w:val="005B44A3"/>
    <w:rsid w:val="005B4E57"/>
    <w:rsid w:val="005B5AD7"/>
    <w:rsid w:val="005B5F0C"/>
    <w:rsid w:val="005B7189"/>
    <w:rsid w:val="005B734D"/>
    <w:rsid w:val="005C0D24"/>
    <w:rsid w:val="005C0F09"/>
    <w:rsid w:val="005C175F"/>
    <w:rsid w:val="005C1C41"/>
    <w:rsid w:val="005C27BD"/>
    <w:rsid w:val="005C2DFD"/>
    <w:rsid w:val="005C37B2"/>
    <w:rsid w:val="005C5A95"/>
    <w:rsid w:val="005C5C8D"/>
    <w:rsid w:val="005C6E77"/>
    <w:rsid w:val="005C7DA7"/>
    <w:rsid w:val="005D1007"/>
    <w:rsid w:val="005D1EE3"/>
    <w:rsid w:val="005D3A17"/>
    <w:rsid w:val="005D40FC"/>
    <w:rsid w:val="005D456E"/>
    <w:rsid w:val="005D5114"/>
    <w:rsid w:val="005D68C4"/>
    <w:rsid w:val="005E1B28"/>
    <w:rsid w:val="005E1C79"/>
    <w:rsid w:val="005E1DDC"/>
    <w:rsid w:val="005E216B"/>
    <w:rsid w:val="005E21ED"/>
    <w:rsid w:val="005E2836"/>
    <w:rsid w:val="005E2E65"/>
    <w:rsid w:val="005E30A2"/>
    <w:rsid w:val="005E362A"/>
    <w:rsid w:val="005E3708"/>
    <w:rsid w:val="005E3B23"/>
    <w:rsid w:val="005E4292"/>
    <w:rsid w:val="005E4D49"/>
    <w:rsid w:val="005E556C"/>
    <w:rsid w:val="005E6A08"/>
    <w:rsid w:val="005E6AFB"/>
    <w:rsid w:val="005E6F50"/>
    <w:rsid w:val="005E749E"/>
    <w:rsid w:val="005F1419"/>
    <w:rsid w:val="005F1440"/>
    <w:rsid w:val="005F261D"/>
    <w:rsid w:val="005F26E1"/>
    <w:rsid w:val="005F29C2"/>
    <w:rsid w:val="005F2A87"/>
    <w:rsid w:val="005F390A"/>
    <w:rsid w:val="005F41B2"/>
    <w:rsid w:val="005F5BCA"/>
    <w:rsid w:val="005F6179"/>
    <w:rsid w:val="005F626E"/>
    <w:rsid w:val="005F62DC"/>
    <w:rsid w:val="005F7C11"/>
    <w:rsid w:val="006002E4"/>
    <w:rsid w:val="006008DF"/>
    <w:rsid w:val="00600E33"/>
    <w:rsid w:val="00600FB3"/>
    <w:rsid w:val="006015F8"/>
    <w:rsid w:val="00601E11"/>
    <w:rsid w:val="00601E28"/>
    <w:rsid w:val="0060218A"/>
    <w:rsid w:val="006023F5"/>
    <w:rsid w:val="0060332C"/>
    <w:rsid w:val="0060401C"/>
    <w:rsid w:val="00604786"/>
    <w:rsid w:val="00606360"/>
    <w:rsid w:val="00606740"/>
    <w:rsid w:val="00606F72"/>
    <w:rsid w:val="00607EC5"/>
    <w:rsid w:val="00610336"/>
    <w:rsid w:val="00611ADF"/>
    <w:rsid w:val="00611C15"/>
    <w:rsid w:val="00611D91"/>
    <w:rsid w:val="00612982"/>
    <w:rsid w:val="00613585"/>
    <w:rsid w:val="00613A76"/>
    <w:rsid w:val="006150C5"/>
    <w:rsid w:val="00615260"/>
    <w:rsid w:val="00615E8C"/>
    <w:rsid w:val="006178D6"/>
    <w:rsid w:val="00617F50"/>
    <w:rsid w:val="006209EE"/>
    <w:rsid w:val="006210D6"/>
    <w:rsid w:val="0062144B"/>
    <w:rsid w:val="006230F1"/>
    <w:rsid w:val="00623608"/>
    <w:rsid w:val="006239C6"/>
    <w:rsid w:val="006241D5"/>
    <w:rsid w:val="006242FD"/>
    <w:rsid w:val="00625A6D"/>
    <w:rsid w:val="0062753F"/>
    <w:rsid w:val="00627948"/>
    <w:rsid w:val="006300D0"/>
    <w:rsid w:val="0063021B"/>
    <w:rsid w:val="0063090A"/>
    <w:rsid w:val="00633C2F"/>
    <w:rsid w:val="00633DC8"/>
    <w:rsid w:val="00634606"/>
    <w:rsid w:val="00634BA5"/>
    <w:rsid w:val="00635309"/>
    <w:rsid w:val="00635655"/>
    <w:rsid w:val="00635F89"/>
    <w:rsid w:val="00636397"/>
    <w:rsid w:val="00636A7A"/>
    <w:rsid w:val="00637A86"/>
    <w:rsid w:val="00637D22"/>
    <w:rsid w:val="00641082"/>
    <w:rsid w:val="00641199"/>
    <w:rsid w:val="0064196C"/>
    <w:rsid w:val="00641974"/>
    <w:rsid w:val="00642E39"/>
    <w:rsid w:val="00643058"/>
    <w:rsid w:val="00644498"/>
    <w:rsid w:val="00644950"/>
    <w:rsid w:val="00644E39"/>
    <w:rsid w:val="00646F12"/>
    <w:rsid w:val="00647503"/>
    <w:rsid w:val="00647BB0"/>
    <w:rsid w:val="00650342"/>
    <w:rsid w:val="00650434"/>
    <w:rsid w:val="0065059F"/>
    <w:rsid w:val="006511AA"/>
    <w:rsid w:val="0065259D"/>
    <w:rsid w:val="006526F9"/>
    <w:rsid w:val="00652FB7"/>
    <w:rsid w:val="00653775"/>
    <w:rsid w:val="00653F4E"/>
    <w:rsid w:val="00654133"/>
    <w:rsid w:val="006542CA"/>
    <w:rsid w:val="00655BCD"/>
    <w:rsid w:val="00655D74"/>
    <w:rsid w:val="00656470"/>
    <w:rsid w:val="00656FF6"/>
    <w:rsid w:val="00657519"/>
    <w:rsid w:val="00657F90"/>
    <w:rsid w:val="00660720"/>
    <w:rsid w:val="00661843"/>
    <w:rsid w:val="00661C66"/>
    <w:rsid w:val="00661CE0"/>
    <w:rsid w:val="00662F29"/>
    <w:rsid w:val="00663087"/>
    <w:rsid w:val="00663252"/>
    <w:rsid w:val="006632C3"/>
    <w:rsid w:val="00663556"/>
    <w:rsid w:val="00663808"/>
    <w:rsid w:val="0066398C"/>
    <w:rsid w:val="00663E40"/>
    <w:rsid w:val="00664376"/>
    <w:rsid w:val="006647C2"/>
    <w:rsid w:val="0066499C"/>
    <w:rsid w:val="00664F46"/>
    <w:rsid w:val="006660EC"/>
    <w:rsid w:val="00667341"/>
    <w:rsid w:val="0066776B"/>
    <w:rsid w:val="006701C1"/>
    <w:rsid w:val="00671688"/>
    <w:rsid w:val="006717EC"/>
    <w:rsid w:val="00673005"/>
    <w:rsid w:val="00673AA8"/>
    <w:rsid w:val="0067408C"/>
    <w:rsid w:val="006741C7"/>
    <w:rsid w:val="0067516B"/>
    <w:rsid w:val="0067533F"/>
    <w:rsid w:val="00675503"/>
    <w:rsid w:val="00675A18"/>
    <w:rsid w:val="00675A8C"/>
    <w:rsid w:val="0067693B"/>
    <w:rsid w:val="00676A4A"/>
    <w:rsid w:val="00677645"/>
    <w:rsid w:val="006807A0"/>
    <w:rsid w:val="00680CDA"/>
    <w:rsid w:val="006819D8"/>
    <w:rsid w:val="00681F89"/>
    <w:rsid w:val="006836CF"/>
    <w:rsid w:val="006839AA"/>
    <w:rsid w:val="00683F97"/>
    <w:rsid w:val="006855A1"/>
    <w:rsid w:val="00685E02"/>
    <w:rsid w:val="0068695F"/>
    <w:rsid w:val="00686B02"/>
    <w:rsid w:val="006872E9"/>
    <w:rsid w:val="00687380"/>
    <w:rsid w:val="00690343"/>
    <w:rsid w:val="006906FE"/>
    <w:rsid w:val="00690874"/>
    <w:rsid w:val="00691000"/>
    <w:rsid w:val="006929F6"/>
    <w:rsid w:val="00692B62"/>
    <w:rsid w:val="006933EE"/>
    <w:rsid w:val="00693D83"/>
    <w:rsid w:val="00696E3A"/>
    <w:rsid w:val="00696F53"/>
    <w:rsid w:val="0069774A"/>
    <w:rsid w:val="00697C75"/>
    <w:rsid w:val="006A03CB"/>
    <w:rsid w:val="006A196F"/>
    <w:rsid w:val="006A4032"/>
    <w:rsid w:val="006A4246"/>
    <w:rsid w:val="006A4808"/>
    <w:rsid w:val="006A4AF5"/>
    <w:rsid w:val="006A4BBE"/>
    <w:rsid w:val="006A5D98"/>
    <w:rsid w:val="006A5F96"/>
    <w:rsid w:val="006A6FA4"/>
    <w:rsid w:val="006A778C"/>
    <w:rsid w:val="006B09CD"/>
    <w:rsid w:val="006B09D0"/>
    <w:rsid w:val="006B129B"/>
    <w:rsid w:val="006B1D8A"/>
    <w:rsid w:val="006B394A"/>
    <w:rsid w:val="006B4A07"/>
    <w:rsid w:val="006B4A5E"/>
    <w:rsid w:val="006B62CE"/>
    <w:rsid w:val="006B647F"/>
    <w:rsid w:val="006B6663"/>
    <w:rsid w:val="006B6DA4"/>
    <w:rsid w:val="006B703F"/>
    <w:rsid w:val="006B762E"/>
    <w:rsid w:val="006B7BAF"/>
    <w:rsid w:val="006C032E"/>
    <w:rsid w:val="006C0FB6"/>
    <w:rsid w:val="006C1341"/>
    <w:rsid w:val="006C1711"/>
    <w:rsid w:val="006C1740"/>
    <w:rsid w:val="006C2CBB"/>
    <w:rsid w:val="006C3DA4"/>
    <w:rsid w:val="006C424F"/>
    <w:rsid w:val="006C5891"/>
    <w:rsid w:val="006C5A46"/>
    <w:rsid w:val="006C5C2A"/>
    <w:rsid w:val="006C6D0D"/>
    <w:rsid w:val="006D03C4"/>
    <w:rsid w:val="006D068E"/>
    <w:rsid w:val="006D068F"/>
    <w:rsid w:val="006D07F9"/>
    <w:rsid w:val="006D09B3"/>
    <w:rsid w:val="006D0EF8"/>
    <w:rsid w:val="006D13F2"/>
    <w:rsid w:val="006D1B58"/>
    <w:rsid w:val="006D2C11"/>
    <w:rsid w:val="006D3072"/>
    <w:rsid w:val="006D4380"/>
    <w:rsid w:val="006D469A"/>
    <w:rsid w:val="006D4A30"/>
    <w:rsid w:val="006D4F87"/>
    <w:rsid w:val="006D62A3"/>
    <w:rsid w:val="006D6666"/>
    <w:rsid w:val="006E02A4"/>
    <w:rsid w:val="006E02B9"/>
    <w:rsid w:val="006E0B52"/>
    <w:rsid w:val="006E344B"/>
    <w:rsid w:val="006E4B17"/>
    <w:rsid w:val="006E5788"/>
    <w:rsid w:val="006F0875"/>
    <w:rsid w:val="006F0CB3"/>
    <w:rsid w:val="006F1929"/>
    <w:rsid w:val="006F2B4E"/>
    <w:rsid w:val="006F2D80"/>
    <w:rsid w:val="006F2FFC"/>
    <w:rsid w:val="006F3775"/>
    <w:rsid w:val="006F6376"/>
    <w:rsid w:val="006F64C4"/>
    <w:rsid w:val="006F672B"/>
    <w:rsid w:val="006F77CB"/>
    <w:rsid w:val="007003DA"/>
    <w:rsid w:val="00701453"/>
    <w:rsid w:val="007014A6"/>
    <w:rsid w:val="007025F5"/>
    <w:rsid w:val="00702C2E"/>
    <w:rsid w:val="007031C4"/>
    <w:rsid w:val="007034F5"/>
    <w:rsid w:val="00704103"/>
    <w:rsid w:val="00704742"/>
    <w:rsid w:val="007059A5"/>
    <w:rsid w:val="00707303"/>
    <w:rsid w:val="0070767B"/>
    <w:rsid w:val="007078F9"/>
    <w:rsid w:val="0070799F"/>
    <w:rsid w:val="007108EF"/>
    <w:rsid w:val="00711842"/>
    <w:rsid w:val="00711C6B"/>
    <w:rsid w:val="00712929"/>
    <w:rsid w:val="007130EB"/>
    <w:rsid w:val="007135A6"/>
    <w:rsid w:val="00714ECC"/>
    <w:rsid w:val="00714FB0"/>
    <w:rsid w:val="007151B8"/>
    <w:rsid w:val="00715750"/>
    <w:rsid w:val="00716F06"/>
    <w:rsid w:val="007178C2"/>
    <w:rsid w:val="007178E9"/>
    <w:rsid w:val="00717A88"/>
    <w:rsid w:val="00717F82"/>
    <w:rsid w:val="007204FD"/>
    <w:rsid w:val="00720DA5"/>
    <w:rsid w:val="00720E38"/>
    <w:rsid w:val="00720E67"/>
    <w:rsid w:val="0072157C"/>
    <w:rsid w:val="00722831"/>
    <w:rsid w:val="00722A14"/>
    <w:rsid w:val="00722ABA"/>
    <w:rsid w:val="00724723"/>
    <w:rsid w:val="00724E24"/>
    <w:rsid w:val="0072509B"/>
    <w:rsid w:val="0072594B"/>
    <w:rsid w:val="007262E5"/>
    <w:rsid w:val="0072657B"/>
    <w:rsid w:val="00727D3C"/>
    <w:rsid w:val="007323FA"/>
    <w:rsid w:val="00733052"/>
    <w:rsid w:val="0073396B"/>
    <w:rsid w:val="00733BC2"/>
    <w:rsid w:val="007348D3"/>
    <w:rsid w:val="007350E3"/>
    <w:rsid w:val="00736185"/>
    <w:rsid w:val="00736506"/>
    <w:rsid w:val="00737456"/>
    <w:rsid w:val="00737920"/>
    <w:rsid w:val="00741718"/>
    <w:rsid w:val="00742197"/>
    <w:rsid w:val="00743522"/>
    <w:rsid w:val="00743D52"/>
    <w:rsid w:val="00744037"/>
    <w:rsid w:val="00744041"/>
    <w:rsid w:val="0074584A"/>
    <w:rsid w:val="00747090"/>
    <w:rsid w:val="00747582"/>
    <w:rsid w:val="00747BBD"/>
    <w:rsid w:val="00747C3E"/>
    <w:rsid w:val="00750214"/>
    <w:rsid w:val="00750225"/>
    <w:rsid w:val="007503DD"/>
    <w:rsid w:val="00750430"/>
    <w:rsid w:val="007513FF"/>
    <w:rsid w:val="0075150D"/>
    <w:rsid w:val="00753D20"/>
    <w:rsid w:val="0075509D"/>
    <w:rsid w:val="00755A93"/>
    <w:rsid w:val="00755B73"/>
    <w:rsid w:val="00756119"/>
    <w:rsid w:val="0075659C"/>
    <w:rsid w:val="0075715E"/>
    <w:rsid w:val="007574F4"/>
    <w:rsid w:val="00760150"/>
    <w:rsid w:val="00761259"/>
    <w:rsid w:val="00761A13"/>
    <w:rsid w:val="00761CEE"/>
    <w:rsid w:val="00761FB2"/>
    <w:rsid w:val="00762D0F"/>
    <w:rsid w:val="0076331A"/>
    <w:rsid w:val="00763501"/>
    <w:rsid w:val="00763625"/>
    <w:rsid w:val="00763990"/>
    <w:rsid w:val="00764983"/>
    <w:rsid w:val="0076546F"/>
    <w:rsid w:val="00765A73"/>
    <w:rsid w:val="00766E03"/>
    <w:rsid w:val="00767B76"/>
    <w:rsid w:val="007703D2"/>
    <w:rsid w:val="0077055E"/>
    <w:rsid w:val="007718CD"/>
    <w:rsid w:val="00773F07"/>
    <w:rsid w:val="00774F30"/>
    <w:rsid w:val="0077534E"/>
    <w:rsid w:val="00775422"/>
    <w:rsid w:val="007759A1"/>
    <w:rsid w:val="007773EB"/>
    <w:rsid w:val="00780F4C"/>
    <w:rsid w:val="00781512"/>
    <w:rsid w:val="007815AB"/>
    <w:rsid w:val="00781C47"/>
    <w:rsid w:val="00781E45"/>
    <w:rsid w:val="007823CF"/>
    <w:rsid w:val="00782863"/>
    <w:rsid w:val="00782C20"/>
    <w:rsid w:val="00783C07"/>
    <w:rsid w:val="00783D07"/>
    <w:rsid w:val="00783F1F"/>
    <w:rsid w:val="00784D9E"/>
    <w:rsid w:val="00784EF5"/>
    <w:rsid w:val="00786545"/>
    <w:rsid w:val="007868EA"/>
    <w:rsid w:val="0078722D"/>
    <w:rsid w:val="00787374"/>
    <w:rsid w:val="0079052B"/>
    <w:rsid w:val="007906A7"/>
    <w:rsid w:val="0079177E"/>
    <w:rsid w:val="00791A4C"/>
    <w:rsid w:val="00794C6D"/>
    <w:rsid w:val="00795184"/>
    <w:rsid w:val="00795A4C"/>
    <w:rsid w:val="00795B11"/>
    <w:rsid w:val="00795D8F"/>
    <w:rsid w:val="007968B0"/>
    <w:rsid w:val="007A0C57"/>
    <w:rsid w:val="007A0C6A"/>
    <w:rsid w:val="007A1632"/>
    <w:rsid w:val="007A1A4E"/>
    <w:rsid w:val="007A2743"/>
    <w:rsid w:val="007A3773"/>
    <w:rsid w:val="007A679C"/>
    <w:rsid w:val="007A68F0"/>
    <w:rsid w:val="007B10AE"/>
    <w:rsid w:val="007B161E"/>
    <w:rsid w:val="007B1952"/>
    <w:rsid w:val="007B1E95"/>
    <w:rsid w:val="007B26D7"/>
    <w:rsid w:val="007B2B3D"/>
    <w:rsid w:val="007B2E1C"/>
    <w:rsid w:val="007B45AC"/>
    <w:rsid w:val="007B4AFE"/>
    <w:rsid w:val="007B4D91"/>
    <w:rsid w:val="007B72D2"/>
    <w:rsid w:val="007B740C"/>
    <w:rsid w:val="007B79F8"/>
    <w:rsid w:val="007C092A"/>
    <w:rsid w:val="007C0B9C"/>
    <w:rsid w:val="007C0BBD"/>
    <w:rsid w:val="007C26F5"/>
    <w:rsid w:val="007C2F22"/>
    <w:rsid w:val="007C3C75"/>
    <w:rsid w:val="007C3CE7"/>
    <w:rsid w:val="007C443D"/>
    <w:rsid w:val="007C58A5"/>
    <w:rsid w:val="007C634B"/>
    <w:rsid w:val="007C6646"/>
    <w:rsid w:val="007C6F3E"/>
    <w:rsid w:val="007D1010"/>
    <w:rsid w:val="007D1940"/>
    <w:rsid w:val="007D1CC0"/>
    <w:rsid w:val="007D2213"/>
    <w:rsid w:val="007D47E3"/>
    <w:rsid w:val="007D4F23"/>
    <w:rsid w:val="007D51FB"/>
    <w:rsid w:val="007D6212"/>
    <w:rsid w:val="007D70ED"/>
    <w:rsid w:val="007E0253"/>
    <w:rsid w:val="007E0CE7"/>
    <w:rsid w:val="007E0EEC"/>
    <w:rsid w:val="007E102A"/>
    <w:rsid w:val="007E1DFE"/>
    <w:rsid w:val="007E26C8"/>
    <w:rsid w:val="007E2915"/>
    <w:rsid w:val="007E2DCA"/>
    <w:rsid w:val="007E3ABB"/>
    <w:rsid w:val="007E40A4"/>
    <w:rsid w:val="007E4ABF"/>
    <w:rsid w:val="007E56D9"/>
    <w:rsid w:val="007E63E4"/>
    <w:rsid w:val="007E69AA"/>
    <w:rsid w:val="007E71CB"/>
    <w:rsid w:val="007E73E4"/>
    <w:rsid w:val="007E791A"/>
    <w:rsid w:val="007E7BC7"/>
    <w:rsid w:val="007E7D82"/>
    <w:rsid w:val="007E7FDF"/>
    <w:rsid w:val="007F25F8"/>
    <w:rsid w:val="007F29E8"/>
    <w:rsid w:val="007F2BCB"/>
    <w:rsid w:val="007F2CAC"/>
    <w:rsid w:val="007F3B0C"/>
    <w:rsid w:val="007F3E93"/>
    <w:rsid w:val="007F43B1"/>
    <w:rsid w:val="007F49A0"/>
    <w:rsid w:val="007F4A12"/>
    <w:rsid w:val="007F5133"/>
    <w:rsid w:val="007F537F"/>
    <w:rsid w:val="007F67E6"/>
    <w:rsid w:val="007F69EE"/>
    <w:rsid w:val="00800A10"/>
    <w:rsid w:val="00800F0F"/>
    <w:rsid w:val="00801572"/>
    <w:rsid w:val="008028E3"/>
    <w:rsid w:val="00803435"/>
    <w:rsid w:val="0080467B"/>
    <w:rsid w:val="008057C5"/>
    <w:rsid w:val="008065C5"/>
    <w:rsid w:val="00807923"/>
    <w:rsid w:val="0081024C"/>
    <w:rsid w:val="00810B1E"/>
    <w:rsid w:val="00811DED"/>
    <w:rsid w:val="00812381"/>
    <w:rsid w:val="00812BED"/>
    <w:rsid w:val="00813DB1"/>
    <w:rsid w:val="00814139"/>
    <w:rsid w:val="008148F6"/>
    <w:rsid w:val="00814EF1"/>
    <w:rsid w:val="00815A17"/>
    <w:rsid w:val="00815D71"/>
    <w:rsid w:val="00815F50"/>
    <w:rsid w:val="0081689B"/>
    <w:rsid w:val="00816DD2"/>
    <w:rsid w:val="00816F59"/>
    <w:rsid w:val="00820604"/>
    <w:rsid w:val="0082111F"/>
    <w:rsid w:val="00822C3D"/>
    <w:rsid w:val="00822F28"/>
    <w:rsid w:val="00823402"/>
    <w:rsid w:val="008254B1"/>
    <w:rsid w:val="00826944"/>
    <w:rsid w:val="00826C5B"/>
    <w:rsid w:val="00827339"/>
    <w:rsid w:val="00830775"/>
    <w:rsid w:val="00831BFC"/>
    <w:rsid w:val="00832EBF"/>
    <w:rsid w:val="0083375E"/>
    <w:rsid w:val="00833AC2"/>
    <w:rsid w:val="00833BFC"/>
    <w:rsid w:val="00834806"/>
    <w:rsid w:val="00834DF2"/>
    <w:rsid w:val="0083520E"/>
    <w:rsid w:val="00835733"/>
    <w:rsid w:val="00835ED6"/>
    <w:rsid w:val="0083622D"/>
    <w:rsid w:val="00836835"/>
    <w:rsid w:val="0083792D"/>
    <w:rsid w:val="00837BF0"/>
    <w:rsid w:val="00840E86"/>
    <w:rsid w:val="00840FBC"/>
    <w:rsid w:val="00841CE0"/>
    <w:rsid w:val="008428D9"/>
    <w:rsid w:val="00842FB9"/>
    <w:rsid w:val="008437E5"/>
    <w:rsid w:val="00843DB3"/>
    <w:rsid w:val="00844F94"/>
    <w:rsid w:val="00845913"/>
    <w:rsid w:val="008459B5"/>
    <w:rsid w:val="00845A6F"/>
    <w:rsid w:val="0084747D"/>
    <w:rsid w:val="00847642"/>
    <w:rsid w:val="008518CC"/>
    <w:rsid w:val="008520AF"/>
    <w:rsid w:val="00852211"/>
    <w:rsid w:val="00852C4F"/>
    <w:rsid w:val="00852DA5"/>
    <w:rsid w:val="00853587"/>
    <w:rsid w:val="00853611"/>
    <w:rsid w:val="00853992"/>
    <w:rsid w:val="008557E8"/>
    <w:rsid w:val="0085590A"/>
    <w:rsid w:val="008569F7"/>
    <w:rsid w:val="008616C5"/>
    <w:rsid w:val="00864E12"/>
    <w:rsid w:val="0086500A"/>
    <w:rsid w:val="008651BE"/>
    <w:rsid w:val="008658AC"/>
    <w:rsid w:val="008661AE"/>
    <w:rsid w:val="008664D7"/>
    <w:rsid w:val="008726FE"/>
    <w:rsid w:val="008731E3"/>
    <w:rsid w:val="0087320D"/>
    <w:rsid w:val="0087331B"/>
    <w:rsid w:val="008743C6"/>
    <w:rsid w:val="00874CE5"/>
    <w:rsid w:val="00875B81"/>
    <w:rsid w:val="00876074"/>
    <w:rsid w:val="00876C53"/>
    <w:rsid w:val="008770C3"/>
    <w:rsid w:val="00881C9D"/>
    <w:rsid w:val="00881EFC"/>
    <w:rsid w:val="00881FAC"/>
    <w:rsid w:val="0088250B"/>
    <w:rsid w:val="008825FD"/>
    <w:rsid w:val="00882789"/>
    <w:rsid w:val="00884801"/>
    <w:rsid w:val="00884984"/>
    <w:rsid w:val="00884C1D"/>
    <w:rsid w:val="00885820"/>
    <w:rsid w:val="008869AE"/>
    <w:rsid w:val="00887172"/>
    <w:rsid w:val="00887733"/>
    <w:rsid w:val="008901C0"/>
    <w:rsid w:val="008904CD"/>
    <w:rsid w:val="008926E9"/>
    <w:rsid w:val="00892968"/>
    <w:rsid w:val="00892C0E"/>
    <w:rsid w:val="008936AC"/>
    <w:rsid w:val="00893A74"/>
    <w:rsid w:val="00895989"/>
    <w:rsid w:val="008962D6"/>
    <w:rsid w:val="00897103"/>
    <w:rsid w:val="008972DE"/>
    <w:rsid w:val="00897FA2"/>
    <w:rsid w:val="008A0521"/>
    <w:rsid w:val="008A1D3A"/>
    <w:rsid w:val="008A3518"/>
    <w:rsid w:val="008A4F9D"/>
    <w:rsid w:val="008A558E"/>
    <w:rsid w:val="008A5672"/>
    <w:rsid w:val="008A589E"/>
    <w:rsid w:val="008A61F1"/>
    <w:rsid w:val="008A6623"/>
    <w:rsid w:val="008A6EB7"/>
    <w:rsid w:val="008A745D"/>
    <w:rsid w:val="008B0405"/>
    <w:rsid w:val="008B0620"/>
    <w:rsid w:val="008B0D80"/>
    <w:rsid w:val="008B10DA"/>
    <w:rsid w:val="008B19DD"/>
    <w:rsid w:val="008B19F6"/>
    <w:rsid w:val="008B3554"/>
    <w:rsid w:val="008B3775"/>
    <w:rsid w:val="008B4581"/>
    <w:rsid w:val="008B459C"/>
    <w:rsid w:val="008B4FB6"/>
    <w:rsid w:val="008B5B23"/>
    <w:rsid w:val="008B5DDE"/>
    <w:rsid w:val="008B721A"/>
    <w:rsid w:val="008B7264"/>
    <w:rsid w:val="008B76B8"/>
    <w:rsid w:val="008C042F"/>
    <w:rsid w:val="008C05C2"/>
    <w:rsid w:val="008C0E44"/>
    <w:rsid w:val="008C19A8"/>
    <w:rsid w:val="008C2016"/>
    <w:rsid w:val="008C25D6"/>
    <w:rsid w:val="008C371C"/>
    <w:rsid w:val="008C3948"/>
    <w:rsid w:val="008C394B"/>
    <w:rsid w:val="008C4521"/>
    <w:rsid w:val="008C49DA"/>
    <w:rsid w:val="008C4E7E"/>
    <w:rsid w:val="008C562E"/>
    <w:rsid w:val="008C595B"/>
    <w:rsid w:val="008C5C58"/>
    <w:rsid w:val="008C725D"/>
    <w:rsid w:val="008C76C1"/>
    <w:rsid w:val="008C7841"/>
    <w:rsid w:val="008D07DA"/>
    <w:rsid w:val="008D0BD5"/>
    <w:rsid w:val="008D1E87"/>
    <w:rsid w:val="008D274C"/>
    <w:rsid w:val="008D3010"/>
    <w:rsid w:val="008D3395"/>
    <w:rsid w:val="008D3550"/>
    <w:rsid w:val="008D3C58"/>
    <w:rsid w:val="008D415B"/>
    <w:rsid w:val="008D541D"/>
    <w:rsid w:val="008D5782"/>
    <w:rsid w:val="008D598F"/>
    <w:rsid w:val="008D5BDF"/>
    <w:rsid w:val="008D6034"/>
    <w:rsid w:val="008D6449"/>
    <w:rsid w:val="008D6586"/>
    <w:rsid w:val="008D6719"/>
    <w:rsid w:val="008D6D87"/>
    <w:rsid w:val="008D73D8"/>
    <w:rsid w:val="008D7AE1"/>
    <w:rsid w:val="008E05E4"/>
    <w:rsid w:val="008E0BF8"/>
    <w:rsid w:val="008E0C2E"/>
    <w:rsid w:val="008E1988"/>
    <w:rsid w:val="008E1ADD"/>
    <w:rsid w:val="008E1D26"/>
    <w:rsid w:val="008E1E57"/>
    <w:rsid w:val="008E2938"/>
    <w:rsid w:val="008E2A79"/>
    <w:rsid w:val="008E2DF9"/>
    <w:rsid w:val="008E39DD"/>
    <w:rsid w:val="008E3B8A"/>
    <w:rsid w:val="008E4CBE"/>
    <w:rsid w:val="008E6048"/>
    <w:rsid w:val="008E7F90"/>
    <w:rsid w:val="008F0A9D"/>
    <w:rsid w:val="008F1BD7"/>
    <w:rsid w:val="008F2045"/>
    <w:rsid w:val="008F2E1B"/>
    <w:rsid w:val="008F4F33"/>
    <w:rsid w:val="008F4F83"/>
    <w:rsid w:val="008F529E"/>
    <w:rsid w:val="008F601B"/>
    <w:rsid w:val="008F6185"/>
    <w:rsid w:val="008F6CB6"/>
    <w:rsid w:val="008F6FF2"/>
    <w:rsid w:val="008F7663"/>
    <w:rsid w:val="00900051"/>
    <w:rsid w:val="0090036D"/>
    <w:rsid w:val="009005A4"/>
    <w:rsid w:val="0090091A"/>
    <w:rsid w:val="00900D18"/>
    <w:rsid w:val="00901A37"/>
    <w:rsid w:val="00902525"/>
    <w:rsid w:val="00902E0F"/>
    <w:rsid w:val="00903E00"/>
    <w:rsid w:val="009041BF"/>
    <w:rsid w:val="009049D5"/>
    <w:rsid w:val="00905CEA"/>
    <w:rsid w:val="009071C7"/>
    <w:rsid w:val="009107E5"/>
    <w:rsid w:val="00911643"/>
    <w:rsid w:val="00911CF0"/>
    <w:rsid w:val="00912180"/>
    <w:rsid w:val="00912465"/>
    <w:rsid w:val="00912A11"/>
    <w:rsid w:val="009131EF"/>
    <w:rsid w:val="0091491F"/>
    <w:rsid w:val="009169CD"/>
    <w:rsid w:val="00916ACE"/>
    <w:rsid w:val="00916BCB"/>
    <w:rsid w:val="00916FD4"/>
    <w:rsid w:val="00917ABB"/>
    <w:rsid w:val="009201A6"/>
    <w:rsid w:val="00920323"/>
    <w:rsid w:val="00921061"/>
    <w:rsid w:val="0092126E"/>
    <w:rsid w:val="009218B9"/>
    <w:rsid w:val="00921F3C"/>
    <w:rsid w:val="009220E4"/>
    <w:rsid w:val="00923991"/>
    <w:rsid w:val="009240EF"/>
    <w:rsid w:val="00924DEC"/>
    <w:rsid w:val="00926742"/>
    <w:rsid w:val="00927746"/>
    <w:rsid w:val="00930182"/>
    <w:rsid w:val="009305D7"/>
    <w:rsid w:val="00930750"/>
    <w:rsid w:val="00930E84"/>
    <w:rsid w:val="00931318"/>
    <w:rsid w:val="00931AAC"/>
    <w:rsid w:val="00932147"/>
    <w:rsid w:val="00933729"/>
    <w:rsid w:val="00933B0A"/>
    <w:rsid w:val="009348C3"/>
    <w:rsid w:val="009351A9"/>
    <w:rsid w:val="009356DD"/>
    <w:rsid w:val="009360A9"/>
    <w:rsid w:val="00936643"/>
    <w:rsid w:val="009372FA"/>
    <w:rsid w:val="009379AD"/>
    <w:rsid w:val="009402EC"/>
    <w:rsid w:val="0094053A"/>
    <w:rsid w:val="00941648"/>
    <w:rsid w:val="00941B3C"/>
    <w:rsid w:val="00941F9B"/>
    <w:rsid w:val="0094289B"/>
    <w:rsid w:val="0094304D"/>
    <w:rsid w:val="00943BE7"/>
    <w:rsid w:val="00944841"/>
    <w:rsid w:val="009456BD"/>
    <w:rsid w:val="0094607A"/>
    <w:rsid w:val="0094761E"/>
    <w:rsid w:val="00947B7B"/>
    <w:rsid w:val="00947E59"/>
    <w:rsid w:val="009515A0"/>
    <w:rsid w:val="00951A64"/>
    <w:rsid w:val="00951C87"/>
    <w:rsid w:val="00952060"/>
    <w:rsid w:val="009524C1"/>
    <w:rsid w:val="00952613"/>
    <w:rsid w:val="0095290A"/>
    <w:rsid w:val="0095358B"/>
    <w:rsid w:val="00953EFA"/>
    <w:rsid w:val="0095421F"/>
    <w:rsid w:val="009542BE"/>
    <w:rsid w:val="009549BE"/>
    <w:rsid w:val="00954C73"/>
    <w:rsid w:val="00955864"/>
    <w:rsid w:val="00956138"/>
    <w:rsid w:val="0096019C"/>
    <w:rsid w:val="009605BC"/>
    <w:rsid w:val="00960DE0"/>
    <w:rsid w:val="0096102F"/>
    <w:rsid w:val="009613B5"/>
    <w:rsid w:val="00961C85"/>
    <w:rsid w:val="00961D40"/>
    <w:rsid w:val="009623A8"/>
    <w:rsid w:val="00962DB7"/>
    <w:rsid w:val="00963403"/>
    <w:rsid w:val="00963556"/>
    <w:rsid w:val="00963C11"/>
    <w:rsid w:val="00964806"/>
    <w:rsid w:val="00964A2F"/>
    <w:rsid w:val="00964D8C"/>
    <w:rsid w:val="00965118"/>
    <w:rsid w:val="009663B8"/>
    <w:rsid w:val="009667DA"/>
    <w:rsid w:val="00967643"/>
    <w:rsid w:val="00967B7D"/>
    <w:rsid w:val="0097004B"/>
    <w:rsid w:val="00970DBF"/>
    <w:rsid w:val="00972D3D"/>
    <w:rsid w:val="00972ED8"/>
    <w:rsid w:val="009741F5"/>
    <w:rsid w:val="00974A43"/>
    <w:rsid w:val="00974FB7"/>
    <w:rsid w:val="00975644"/>
    <w:rsid w:val="00975D8F"/>
    <w:rsid w:val="00976C24"/>
    <w:rsid w:val="00977845"/>
    <w:rsid w:val="00977DAE"/>
    <w:rsid w:val="0098001B"/>
    <w:rsid w:val="00980CB9"/>
    <w:rsid w:val="0098280A"/>
    <w:rsid w:val="00983903"/>
    <w:rsid w:val="00984233"/>
    <w:rsid w:val="009852B1"/>
    <w:rsid w:val="009859BA"/>
    <w:rsid w:val="00986432"/>
    <w:rsid w:val="0098727C"/>
    <w:rsid w:val="00987BC3"/>
    <w:rsid w:val="00987E82"/>
    <w:rsid w:val="009943D8"/>
    <w:rsid w:val="009946A8"/>
    <w:rsid w:val="009959BD"/>
    <w:rsid w:val="009966C4"/>
    <w:rsid w:val="009972E9"/>
    <w:rsid w:val="009975CF"/>
    <w:rsid w:val="00997E89"/>
    <w:rsid w:val="009A00F2"/>
    <w:rsid w:val="009A0216"/>
    <w:rsid w:val="009A0758"/>
    <w:rsid w:val="009A0E25"/>
    <w:rsid w:val="009A1A7D"/>
    <w:rsid w:val="009A283E"/>
    <w:rsid w:val="009A2E5E"/>
    <w:rsid w:val="009A3292"/>
    <w:rsid w:val="009A3558"/>
    <w:rsid w:val="009A358B"/>
    <w:rsid w:val="009A365F"/>
    <w:rsid w:val="009A388A"/>
    <w:rsid w:val="009A4090"/>
    <w:rsid w:val="009A44B9"/>
    <w:rsid w:val="009A4DFC"/>
    <w:rsid w:val="009A5503"/>
    <w:rsid w:val="009A5CF8"/>
    <w:rsid w:val="009A61A3"/>
    <w:rsid w:val="009A667B"/>
    <w:rsid w:val="009A6842"/>
    <w:rsid w:val="009B0533"/>
    <w:rsid w:val="009B06E8"/>
    <w:rsid w:val="009B17E1"/>
    <w:rsid w:val="009B1966"/>
    <w:rsid w:val="009B260A"/>
    <w:rsid w:val="009B334F"/>
    <w:rsid w:val="009B3943"/>
    <w:rsid w:val="009B3BDC"/>
    <w:rsid w:val="009B5D99"/>
    <w:rsid w:val="009B6920"/>
    <w:rsid w:val="009B6B0C"/>
    <w:rsid w:val="009B6F21"/>
    <w:rsid w:val="009B6F9E"/>
    <w:rsid w:val="009B7629"/>
    <w:rsid w:val="009B7798"/>
    <w:rsid w:val="009B7AF8"/>
    <w:rsid w:val="009B7D9F"/>
    <w:rsid w:val="009C0136"/>
    <w:rsid w:val="009C03AD"/>
    <w:rsid w:val="009C08FF"/>
    <w:rsid w:val="009C2A7D"/>
    <w:rsid w:val="009C34EF"/>
    <w:rsid w:val="009C39F1"/>
    <w:rsid w:val="009C500C"/>
    <w:rsid w:val="009C57C3"/>
    <w:rsid w:val="009C58A4"/>
    <w:rsid w:val="009C5E89"/>
    <w:rsid w:val="009C67B2"/>
    <w:rsid w:val="009C6A95"/>
    <w:rsid w:val="009C6AF4"/>
    <w:rsid w:val="009C719B"/>
    <w:rsid w:val="009C764E"/>
    <w:rsid w:val="009C76D2"/>
    <w:rsid w:val="009C7878"/>
    <w:rsid w:val="009C7A35"/>
    <w:rsid w:val="009D1F8E"/>
    <w:rsid w:val="009D2579"/>
    <w:rsid w:val="009D3406"/>
    <w:rsid w:val="009D37CD"/>
    <w:rsid w:val="009D40F9"/>
    <w:rsid w:val="009D6125"/>
    <w:rsid w:val="009D661E"/>
    <w:rsid w:val="009D72CE"/>
    <w:rsid w:val="009D78D8"/>
    <w:rsid w:val="009E043A"/>
    <w:rsid w:val="009E0B3A"/>
    <w:rsid w:val="009E0E73"/>
    <w:rsid w:val="009E29EB"/>
    <w:rsid w:val="009E2D1B"/>
    <w:rsid w:val="009E3CF5"/>
    <w:rsid w:val="009E3F02"/>
    <w:rsid w:val="009E488B"/>
    <w:rsid w:val="009E4B3F"/>
    <w:rsid w:val="009E513F"/>
    <w:rsid w:val="009E5635"/>
    <w:rsid w:val="009E59A7"/>
    <w:rsid w:val="009E6198"/>
    <w:rsid w:val="009E61CC"/>
    <w:rsid w:val="009E65F3"/>
    <w:rsid w:val="009E6CB4"/>
    <w:rsid w:val="009E7CB7"/>
    <w:rsid w:val="009E7EF9"/>
    <w:rsid w:val="009F1D0E"/>
    <w:rsid w:val="009F2402"/>
    <w:rsid w:val="009F2845"/>
    <w:rsid w:val="009F2D27"/>
    <w:rsid w:val="009F3603"/>
    <w:rsid w:val="009F39B3"/>
    <w:rsid w:val="009F3BDE"/>
    <w:rsid w:val="009F43E1"/>
    <w:rsid w:val="009F4CF5"/>
    <w:rsid w:val="009F4E5D"/>
    <w:rsid w:val="009F50B7"/>
    <w:rsid w:val="009F511B"/>
    <w:rsid w:val="009F6248"/>
    <w:rsid w:val="009F66C9"/>
    <w:rsid w:val="009F6A56"/>
    <w:rsid w:val="009F710E"/>
    <w:rsid w:val="009F7961"/>
    <w:rsid w:val="00A00594"/>
    <w:rsid w:val="00A0076A"/>
    <w:rsid w:val="00A00DB6"/>
    <w:rsid w:val="00A01362"/>
    <w:rsid w:val="00A01BE3"/>
    <w:rsid w:val="00A01F06"/>
    <w:rsid w:val="00A022B8"/>
    <w:rsid w:val="00A03958"/>
    <w:rsid w:val="00A0445C"/>
    <w:rsid w:val="00A05071"/>
    <w:rsid w:val="00A051A8"/>
    <w:rsid w:val="00A05C87"/>
    <w:rsid w:val="00A0600B"/>
    <w:rsid w:val="00A060A1"/>
    <w:rsid w:val="00A066BA"/>
    <w:rsid w:val="00A06F97"/>
    <w:rsid w:val="00A07D99"/>
    <w:rsid w:val="00A100F6"/>
    <w:rsid w:val="00A10ACB"/>
    <w:rsid w:val="00A1154C"/>
    <w:rsid w:val="00A13C8E"/>
    <w:rsid w:val="00A14043"/>
    <w:rsid w:val="00A143F2"/>
    <w:rsid w:val="00A148D2"/>
    <w:rsid w:val="00A1514E"/>
    <w:rsid w:val="00A15880"/>
    <w:rsid w:val="00A1647F"/>
    <w:rsid w:val="00A16871"/>
    <w:rsid w:val="00A16E59"/>
    <w:rsid w:val="00A176D0"/>
    <w:rsid w:val="00A179BF"/>
    <w:rsid w:val="00A214A8"/>
    <w:rsid w:val="00A218E7"/>
    <w:rsid w:val="00A247F6"/>
    <w:rsid w:val="00A249F7"/>
    <w:rsid w:val="00A24C9A"/>
    <w:rsid w:val="00A2605B"/>
    <w:rsid w:val="00A26A02"/>
    <w:rsid w:val="00A26B31"/>
    <w:rsid w:val="00A26EA6"/>
    <w:rsid w:val="00A26EDF"/>
    <w:rsid w:val="00A311EC"/>
    <w:rsid w:val="00A327A9"/>
    <w:rsid w:val="00A328B1"/>
    <w:rsid w:val="00A33149"/>
    <w:rsid w:val="00A341A0"/>
    <w:rsid w:val="00A3422B"/>
    <w:rsid w:val="00A347F1"/>
    <w:rsid w:val="00A34F3D"/>
    <w:rsid w:val="00A35E63"/>
    <w:rsid w:val="00A35FBC"/>
    <w:rsid w:val="00A3631A"/>
    <w:rsid w:val="00A3659F"/>
    <w:rsid w:val="00A377FD"/>
    <w:rsid w:val="00A4036A"/>
    <w:rsid w:val="00A4200C"/>
    <w:rsid w:val="00A422D1"/>
    <w:rsid w:val="00A424E2"/>
    <w:rsid w:val="00A42735"/>
    <w:rsid w:val="00A42E09"/>
    <w:rsid w:val="00A42E28"/>
    <w:rsid w:val="00A43CEC"/>
    <w:rsid w:val="00A44372"/>
    <w:rsid w:val="00A446DD"/>
    <w:rsid w:val="00A448B3"/>
    <w:rsid w:val="00A45286"/>
    <w:rsid w:val="00A45DDF"/>
    <w:rsid w:val="00A46055"/>
    <w:rsid w:val="00A46AA3"/>
    <w:rsid w:val="00A479F1"/>
    <w:rsid w:val="00A508A4"/>
    <w:rsid w:val="00A50C1B"/>
    <w:rsid w:val="00A50CE4"/>
    <w:rsid w:val="00A50DA4"/>
    <w:rsid w:val="00A51B18"/>
    <w:rsid w:val="00A5211B"/>
    <w:rsid w:val="00A52246"/>
    <w:rsid w:val="00A558F0"/>
    <w:rsid w:val="00A56176"/>
    <w:rsid w:val="00A568E1"/>
    <w:rsid w:val="00A57AB7"/>
    <w:rsid w:val="00A57BE8"/>
    <w:rsid w:val="00A57E28"/>
    <w:rsid w:val="00A60236"/>
    <w:rsid w:val="00A60473"/>
    <w:rsid w:val="00A60C88"/>
    <w:rsid w:val="00A613E3"/>
    <w:rsid w:val="00A615FE"/>
    <w:rsid w:val="00A61A8D"/>
    <w:rsid w:val="00A62D6C"/>
    <w:rsid w:val="00A6334A"/>
    <w:rsid w:val="00A658B7"/>
    <w:rsid w:val="00A65962"/>
    <w:rsid w:val="00A65EC7"/>
    <w:rsid w:val="00A66448"/>
    <w:rsid w:val="00A66B8C"/>
    <w:rsid w:val="00A67D4E"/>
    <w:rsid w:val="00A7033B"/>
    <w:rsid w:val="00A72516"/>
    <w:rsid w:val="00A734EC"/>
    <w:rsid w:val="00A738FF"/>
    <w:rsid w:val="00A73AEC"/>
    <w:rsid w:val="00A73D48"/>
    <w:rsid w:val="00A73D8F"/>
    <w:rsid w:val="00A73DC7"/>
    <w:rsid w:val="00A74267"/>
    <w:rsid w:val="00A74786"/>
    <w:rsid w:val="00A755AB"/>
    <w:rsid w:val="00A755C2"/>
    <w:rsid w:val="00A761EA"/>
    <w:rsid w:val="00A76348"/>
    <w:rsid w:val="00A76399"/>
    <w:rsid w:val="00A76AA5"/>
    <w:rsid w:val="00A76AB4"/>
    <w:rsid w:val="00A77344"/>
    <w:rsid w:val="00A775EF"/>
    <w:rsid w:val="00A77714"/>
    <w:rsid w:val="00A8065A"/>
    <w:rsid w:val="00A80C98"/>
    <w:rsid w:val="00A80E28"/>
    <w:rsid w:val="00A8116F"/>
    <w:rsid w:val="00A8119C"/>
    <w:rsid w:val="00A814FF"/>
    <w:rsid w:val="00A835C4"/>
    <w:rsid w:val="00A83D1C"/>
    <w:rsid w:val="00A84104"/>
    <w:rsid w:val="00A84684"/>
    <w:rsid w:val="00A8475C"/>
    <w:rsid w:val="00A85933"/>
    <w:rsid w:val="00A861E9"/>
    <w:rsid w:val="00A86882"/>
    <w:rsid w:val="00A86D2E"/>
    <w:rsid w:val="00A872E6"/>
    <w:rsid w:val="00A87EB8"/>
    <w:rsid w:val="00A90BF2"/>
    <w:rsid w:val="00A90D40"/>
    <w:rsid w:val="00A90ECB"/>
    <w:rsid w:val="00A915CB"/>
    <w:rsid w:val="00A921BF"/>
    <w:rsid w:val="00A922AB"/>
    <w:rsid w:val="00A92A1E"/>
    <w:rsid w:val="00A936B3"/>
    <w:rsid w:val="00A936BF"/>
    <w:rsid w:val="00A939DB"/>
    <w:rsid w:val="00A947AB"/>
    <w:rsid w:val="00A955AB"/>
    <w:rsid w:val="00A9570A"/>
    <w:rsid w:val="00A95C38"/>
    <w:rsid w:val="00A95D6B"/>
    <w:rsid w:val="00A95F1B"/>
    <w:rsid w:val="00A96293"/>
    <w:rsid w:val="00A96463"/>
    <w:rsid w:val="00A96941"/>
    <w:rsid w:val="00A96C80"/>
    <w:rsid w:val="00A97AA2"/>
    <w:rsid w:val="00A97E15"/>
    <w:rsid w:val="00AA028C"/>
    <w:rsid w:val="00AA138B"/>
    <w:rsid w:val="00AA213A"/>
    <w:rsid w:val="00AA35B7"/>
    <w:rsid w:val="00AA3839"/>
    <w:rsid w:val="00AA4990"/>
    <w:rsid w:val="00AA4F3C"/>
    <w:rsid w:val="00AA583D"/>
    <w:rsid w:val="00AA6B01"/>
    <w:rsid w:val="00AA7742"/>
    <w:rsid w:val="00AA7B1C"/>
    <w:rsid w:val="00AA7DFC"/>
    <w:rsid w:val="00AA7FE9"/>
    <w:rsid w:val="00AB08F9"/>
    <w:rsid w:val="00AB0E90"/>
    <w:rsid w:val="00AB1061"/>
    <w:rsid w:val="00AB158A"/>
    <w:rsid w:val="00AB1960"/>
    <w:rsid w:val="00AB1A70"/>
    <w:rsid w:val="00AB2985"/>
    <w:rsid w:val="00AB2FB5"/>
    <w:rsid w:val="00AB33BE"/>
    <w:rsid w:val="00AB4CF1"/>
    <w:rsid w:val="00AB4E1C"/>
    <w:rsid w:val="00AB63C1"/>
    <w:rsid w:val="00AB6609"/>
    <w:rsid w:val="00AB7621"/>
    <w:rsid w:val="00AB7DFF"/>
    <w:rsid w:val="00AC030E"/>
    <w:rsid w:val="00AC1DE1"/>
    <w:rsid w:val="00AC241B"/>
    <w:rsid w:val="00AC2E23"/>
    <w:rsid w:val="00AC3073"/>
    <w:rsid w:val="00AC33D2"/>
    <w:rsid w:val="00AC3B49"/>
    <w:rsid w:val="00AC3EB5"/>
    <w:rsid w:val="00AC4232"/>
    <w:rsid w:val="00AC56FD"/>
    <w:rsid w:val="00AC58CC"/>
    <w:rsid w:val="00AC5A14"/>
    <w:rsid w:val="00AC5D03"/>
    <w:rsid w:val="00AC6D1D"/>
    <w:rsid w:val="00AC75C8"/>
    <w:rsid w:val="00AD0225"/>
    <w:rsid w:val="00AD03F1"/>
    <w:rsid w:val="00AD098C"/>
    <w:rsid w:val="00AD1162"/>
    <w:rsid w:val="00AD2C3F"/>
    <w:rsid w:val="00AD2CFC"/>
    <w:rsid w:val="00AD39C4"/>
    <w:rsid w:val="00AD3A08"/>
    <w:rsid w:val="00AD3CEE"/>
    <w:rsid w:val="00AD3D27"/>
    <w:rsid w:val="00AD412B"/>
    <w:rsid w:val="00AD582A"/>
    <w:rsid w:val="00AD5A9B"/>
    <w:rsid w:val="00AD6651"/>
    <w:rsid w:val="00AD6E32"/>
    <w:rsid w:val="00AD724D"/>
    <w:rsid w:val="00AD78C8"/>
    <w:rsid w:val="00AD7E50"/>
    <w:rsid w:val="00AE0F51"/>
    <w:rsid w:val="00AE217D"/>
    <w:rsid w:val="00AE2E9A"/>
    <w:rsid w:val="00AE32C3"/>
    <w:rsid w:val="00AE3572"/>
    <w:rsid w:val="00AE44EA"/>
    <w:rsid w:val="00AE48C4"/>
    <w:rsid w:val="00AE59F6"/>
    <w:rsid w:val="00AE5EDC"/>
    <w:rsid w:val="00AE66AB"/>
    <w:rsid w:val="00AE6928"/>
    <w:rsid w:val="00AE73E6"/>
    <w:rsid w:val="00AE76B8"/>
    <w:rsid w:val="00AF019C"/>
    <w:rsid w:val="00AF08A0"/>
    <w:rsid w:val="00AF146A"/>
    <w:rsid w:val="00AF20C8"/>
    <w:rsid w:val="00AF293D"/>
    <w:rsid w:val="00AF2CD2"/>
    <w:rsid w:val="00AF3006"/>
    <w:rsid w:val="00AF3382"/>
    <w:rsid w:val="00AF365B"/>
    <w:rsid w:val="00AF38B4"/>
    <w:rsid w:val="00AF3AB2"/>
    <w:rsid w:val="00AF3B3E"/>
    <w:rsid w:val="00AF3FAC"/>
    <w:rsid w:val="00AF5B7C"/>
    <w:rsid w:val="00B00BB5"/>
    <w:rsid w:val="00B0162D"/>
    <w:rsid w:val="00B02C2D"/>
    <w:rsid w:val="00B02C3E"/>
    <w:rsid w:val="00B02E47"/>
    <w:rsid w:val="00B053ED"/>
    <w:rsid w:val="00B0564A"/>
    <w:rsid w:val="00B06185"/>
    <w:rsid w:val="00B06940"/>
    <w:rsid w:val="00B0730A"/>
    <w:rsid w:val="00B07841"/>
    <w:rsid w:val="00B07C54"/>
    <w:rsid w:val="00B07D12"/>
    <w:rsid w:val="00B07E21"/>
    <w:rsid w:val="00B10167"/>
    <w:rsid w:val="00B10F29"/>
    <w:rsid w:val="00B11649"/>
    <w:rsid w:val="00B11E40"/>
    <w:rsid w:val="00B120A3"/>
    <w:rsid w:val="00B130B1"/>
    <w:rsid w:val="00B130D6"/>
    <w:rsid w:val="00B1342F"/>
    <w:rsid w:val="00B14C7B"/>
    <w:rsid w:val="00B15325"/>
    <w:rsid w:val="00B15456"/>
    <w:rsid w:val="00B166C5"/>
    <w:rsid w:val="00B1685B"/>
    <w:rsid w:val="00B17465"/>
    <w:rsid w:val="00B1760A"/>
    <w:rsid w:val="00B17A51"/>
    <w:rsid w:val="00B2021B"/>
    <w:rsid w:val="00B20EB5"/>
    <w:rsid w:val="00B2127F"/>
    <w:rsid w:val="00B21A7E"/>
    <w:rsid w:val="00B21D25"/>
    <w:rsid w:val="00B21DD6"/>
    <w:rsid w:val="00B225D9"/>
    <w:rsid w:val="00B2273A"/>
    <w:rsid w:val="00B22CDB"/>
    <w:rsid w:val="00B22EF9"/>
    <w:rsid w:val="00B25242"/>
    <w:rsid w:val="00B256B2"/>
    <w:rsid w:val="00B25BA5"/>
    <w:rsid w:val="00B269D8"/>
    <w:rsid w:val="00B26F80"/>
    <w:rsid w:val="00B276BD"/>
    <w:rsid w:val="00B27D14"/>
    <w:rsid w:val="00B305D4"/>
    <w:rsid w:val="00B3070F"/>
    <w:rsid w:val="00B30D04"/>
    <w:rsid w:val="00B32A82"/>
    <w:rsid w:val="00B32EB6"/>
    <w:rsid w:val="00B330C2"/>
    <w:rsid w:val="00B338D2"/>
    <w:rsid w:val="00B3417B"/>
    <w:rsid w:val="00B34E98"/>
    <w:rsid w:val="00B3554B"/>
    <w:rsid w:val="00B3616C"/>
    <w:rsid w:val="00B37BE4"/>
    <w:rsid w:val="00B37F6B"/>
    <w:rsid w:val="00B40A2C"/>
    <w:rsid w:val="00B41349"/>
    <w:rsid w:val="00B41B31"/>
    <w:rsid w:val="00B426B5"/>
    <w:rsid w:val="00B42F90"/>
    <w:rsid w:val="00B451C9"/>
    <w:rsid w:val="00B459B2"/>
    <w:rsid w:val="00B45C46"/>
    <w:rsid w:val="00B46137"/>
    <w:rsid w:val="00B46B32"/>
    <w:rsid w:val="00B47355"/>
    <w:rsid w:val="00B47387"/>
    <w:rsid w:val="00B50F06"/>
    <w:rsid w:val="00B544D4"/>
    <w:rsid w:val="00B54682"/>
    <w:rsid w:val="00B550BC"/>
    <w:rsid w:val="00B55FC5"/>
    <w:rsid w:val="00B560D2"/>
    <w:rsid w:val="00B5640D"/>
    <w:rsid w:val="00B5650E"/>
    <w:rsid w:val="00B57E33"/>
    <w:rsid w:val="00B6030C"/>
    <w:rsid w:val="00B60AE9"/>
    <w:rsid w:val="00B61264"/>
    <w:rsid w:val="00B6144D"/>
    <w:rsid w:val="00B620DB"/>
    <w:rsid w:val="00B62C9E"/>
    <w:rsid w:val="00B631CD"/>
    <w:rsid w:val="00B639B2"/>
    <w:rsid w:val="00B63A8E"/>
    <w:rsid w:val="00B63E7C"/>
    <w:rsid w:val="00B6432D"/>
    <w:rsid w:val="00B645EA"/>
    <w:rsid w:val="00B64FFD"/>
    <w:rsid w:val="00B65571"/>
    <w:rsid w:val="00B661BA"/>
    <w:rsid w:val="00B661D6"/>
    <w:rsid w:val="00B709A8"/>
    <w:rsid w:val="00B70C12"/>
    <w:rsid w:val="00B7156A"/>
    <w:rsid w:val="00B7235F"/>
    <w:rsid w:val="00B73EE2"/>
    <w:rsid w:val="00B73FE2"/>
    <w:rsid w:val="00B7537D"/>
    <w:rsid w:val="00B7560F"/>
    <w:rsid w:val="00B764B3"/>
    <w:rsid w:val="00B77068"/>
    <w:rsid w:val="00B7788F"/>
    <w:rsid w:val="00B77A1E"/>
    <w:rsid w:val="00B800CE"/>
    <w:rsid w:val="00B80A32"/>
    <w:rsid w:val="00B820BE"/>
    <w:rsid w:val="00B824F4"/>
    <w:rsid w:val="00B825AB"/>
    <w:rsid w:val="00B8269E"/>
    <w:rsid w:val="00B83ADA"/>
    <w:rsid w:val="00B848D3"/>
    <w:rsid w:val="00B84925"/>
    <w:rsid w:val="00B856F1"/>
    <w:rsid w:val="00B86026"/>
    <w:rsid w:val="00B873BB"/>
    <w:rsid w:val="00B87768"/>
    <w:rsid w:val="00B87D2E"/>
    <w:rsid w:val="00B90702"/>
    <w:rsid w:val="00B912EA"/>
    <w:rsid w:val="00B91E97"/>
    <w:rsid w:val="00B926BF"/>
    <w:rsid w:val="00B9330A"/>
    <w:rsid w:val="00B93538"/>
    <w:rsid w:val="00B936BB"/>
    <w:rsid w:val="00B93F6A"/>
    <w:rsid w:val="00B95528"/>
    <w:rsid w:val="00B95634"/>
    <w:rsid w:val="00B95B90"/>
    <w:rsid w:val="00B95F71"/>
    <w:rsid w:val="00B960CB"/>
    <w:rsid w:val="00B9681F"/>
    <w:rsid w:val="00B97073"/>
    <w:rsid w:val="00B97355"/>
    <w:rsid w:val="00B9766F"/>
    <w:rsid w:val="00BA1C9E"/>
    <w:rsid w:val="00BA231C"/>
    <w:rsid w:val="00BA24E1"/>
    <w:rsid w:val="00BA2CF0"/>
    <w:rsid w:val="00BA423D"/>
    <w:rsid w:val="00BA4614"/>
    <w:rsid w:val="00BA5429"/>
    <w:rsid w:val="00BA5464"/>
    <w:rsid w:val="00BA5C17"/>
    <w:rsid w:val="00BA5EA7"/>
    <w:rsid w:val="00BA63EB"/>
    <w:rsid w:val="00BA6C41"/>
    <w:rsid w:val="00BA6E6D"/>
    <w:rsid w:val="00BA7E84"/>
    <w:rsid w:val="00BB05A0"/>
    <w:rsid w:val="00BB099D"/>
    <w:rsid w:val="00BB583F"/>
    <w:rsid w:val="00BB632F"/>
    <w:rsid w:val="00BB68A0"/>
    <w:rsid w:val="00BB6D6C"/>
    <w:rsid w:val="00BB7639"/>
    <w:rsid w:val="00BB771E"/>
    <w:rsid w:val="00BB77CF"/>
    <w:rsid w:val="00BB781C"/>
    <w:rsid w:val="00BC0372"/>
    <w:rsid w:val="00BC03A7"/>
    <w:rsid w:val="00BC1273"/>
    <w:rsid w:val="00BC1754"/>
    <w:rsid w:val="00BC2218"/>
    <w:rsid w:val="00BC2848"/>
    <w:rsid w:val="00BC3B38"/>
    <w:rsid w:val="00BC3EDD"/>
    <w:rsid w:val="00BC406F"/>
    <w:rsid w:val="00BC42A3"/>
    <w:rsid w:val="00BC5E17"/>
    <w:rsid w:val="00BC61B0"/>
    <w:rsid w:val="00BC6691"/>
    <w:rsid w:val="00BC6A11"/>
    <w:rsid w:val="00BC7C46"/>
    <w:rsid w:val="00BD0DF4"/>
    <w:rsid w:val="00BD0F72"/>
    <w:rsid w:val="00BD1193"/>
    <w:rsid w:val="00BD1D35"/>
    <w:rsid w:val="00BD282C"/>
    <w:rsid w:val="00BD2939"/>
    <w:rsid w:val="00BD2985"/>
    <w:rsid w:val="00BD2A4F"/>
    <w:rsid w:val="00BD44D5"/>
    <w:rsid w:val="00BD49CE"/>
    <w:rsid w:val="00BD4B01"/>
    <w:rsid w:val="00BD62F8"/>
    <w:rsid w:val="00BD68A3"/>
    <w:rsid w:val="00BD7FD9"/>
    <w:rsid w:val="00BE0079"/>
    <w:rsid w:val="00BE0AD8"/>
    <w:rsid w:val="00BE0D32"/>
    <w:rsid w:val="00BE10D5"/>
    <w:rsid w:val="00BE18AE"/>
    <w:rsid w:val="00BE2BB5"/>
    <w:rsid w:val="00BE2CF3"/>
    <w:rsid w:val="00BE2DC2"/>
    <w:rsid w:val="00BE3A8C"/>
    <w:rsid w:val="00BE3D74"/>
    <w:rsid w:val="00BE3F04"/>
    <w:rsid w:val="00BE49AB"/>
    <w:rsid w:val="00BE5F09"/>
    <w:rsid w:val="00BE6553"/>
    <w:rsid w:val="00BE6786"/>
    <w:rsid w:val="00BE76A9"/>
    <w:rsid w:val="00BF0045"/>
    <w:rsid w:val="00BF071B"/>
    <w:rsid w:val="00BF1025"/>
    <w:rsid w:val="00BF1C9E"/>
    <w:rsid w:val="00BF33F5"/>
    <w:rsid w:val="00BF3602"/>
    <w:rsid w:val="00BF38BC"/>
    <w:rsid w:val="00BF3DB6"/>
    <w:rsid w:val="00BF4457"/>
    <w:rsid w:val="00BF48B2"/>
    <w:rsid w:val="00BF5410"/>
    <w:rsid w:val="00BF5808"/>
    <w:rsid w:val="00BF5848"/>
    <w:rsid w:val="00BF58D5"/>
    <w:rsid w:val="00BF5ABE"/>
    <w:rsid w:val="00BF6049"/>
    <w:rsid w:val="00BF6B09"/>
    <w:rsid w:val="00BF745F"/>
    <w:rsid w:val="00C001EF"/>
    <w:rsid w:val="00C0262C"/>
    <w:rsid w:val="00C0270F"/>
    <w:rsid w:val="00C029B5"/>
    <w:rsid w:val="00C02F10"/>
    <w:rsid w:val="00C0356E"/>
    <w:rsid w:val="00C0455F"/>
    <w:rsid w:val="00C0487E"/>
    <w:rsid w:val="00C062F1"/>
    <w:rsid w:val="00C0705A"/>
    <w:rsid w:val="00C07545"/>
    <w:rsid w:val="00C07878"/>
    <w:rsid w:val="00C0798D"/>
    <w:rsid w:val="00C11451"/>
    <w:rsid w:val="00C11626"/>
    <w:rsid w:val="00C12063"/>
    <w:rsid w:val="00C120B1"/>
    <w:rsid w:val="00C12521"/>
    <w:rsid w:val="00C12555"/>
    <w:rsid w:val="00C12761"/>
    <w:rsid w:val="00C127E1"/>
    <w:rsid w:val="00C1399D"/>
    <w:rsid w:val="00C14AF7"/>
    <w:rsid w:val="00C1520F"/>
    <w:rsid w:val="00C15442"/>
    <w:rsid w:val="00C15563"/>
    <w:rsid w:val="00C15754"/>
    <w:rsid w:val="00C15C64"/>
    <w:rsid w:val="00C165BF"/>
    <w:rsid w:val="00C212BB"/>
    <w:rsid w:val="00C21ED6"/>
    <w:rsid w:val="00C225CF"/>
    <w:rsid w:val="00C229ED"/>
    <w:rsid w:val="00C22EF7"/>
    <w:rsid w:val="00C233E8"/>
    <w:rsid w:val="00C24124"/>
    <w:rsid w:val="00C242DC"/>
    <w:rsid w:val="00C253D3"/>
    <w:rsid w:val="00C25B6B"/>
    <w:rsid w:val="00C25D31"/>
    <w:rsid w:val="00C25E60"/>
    <w:rsid w:val="00C26476"/>
    <w:rsid w:val="00C27DE3"/>
    <w:rsid w:val="00C30BBA"/>
    <w:rsid w:val="00C310B9"/>
    <w:rsid w:val="00C31525"/>
    <w:rsid w:val="00C31B41"/>
    <w:rsid w:val="00C320B5"/>
    <w:rsid w:val="00C32AE5"/>
    <w:rsid w:val="00C32C20"/>
    <w:rsid w:val="00C3449E"/>
    <w:rsid w:val="00C34C1B"/>
    <w:rsid w:val="00C36305"/>
    <w:rsid w:val="00C365FE"/>
    <w:rsid w:val="00C37154"/>
    <w:rsid w:val="00C3761F"/>
    <w:rsid w:val="00C40480"/>
    <w:rsid w:val="00C40707"/>
    <w:rsid w:val="00C40DEF"/>
    <w:rsid w:val="00C42D99"/>
    <w:rsid w:val="00C42F64"/>
    <w:rsid w:val="00C450A0"/>
    <w:rsid w:val="00C4629C"/>
    <w:rsid w:val="00C46E43"/>
    <w:rsid w:val="00C470BC"/>
    <w:rsid w:val="00C479A9"/>
    <w:rsid w:val="00C479E8"/>
    <w:rsid w:val="00C507EF"/>
    <w:rsid w:val="00C50B63"/>
    <w:rsid w:val="00C50C4D"/>
    <w:rsid w:val="00C50F44"/>
    <w:rsid w:val="00C5225F"/>
    <w:rsid w:val="00C52BD2"/>
    <w:rsid w:val="00C53DF9"/>
    <w:rsid w:val="00C54AAA"/>
    <w:rsid w:val="00C54E48"/>
    <w:rsid w:val="00C55EAE"/>
    <w:rsid w:val="00C5670D"/>
    <w:rsid w:val="00C5679B"/>
    <w:rsid w:val="00C5719B"/>
    <w:rsid w:val="00C571D4"/>
    <w:rsid w:val="00C5744D"/>
    <w:rsid w:val="00C57889"/>
    <w:rsid w:val="00C57DA2"/>
    <w:rsid w:val="00C6062E"/>
    <w:rsid w:val="00C609EC"/>
    <w:rsid w:val="00C6115A"/>
    <w:rsid w:val="00C616D2"/>
    <w:rsid w:val="00C62D2D"/>
    <w:rsid w:val="00C630FE"/>
    <w:rsid w:val="00C63242"/>
    <w:rsid w:val="00C63732"/>
    <w:rsid w:val="00C6451B"/>
    <w:rsid w:val="00C6466E"/>
    <w:rsid w:val="00C6489A"/>
    <w:rsid w:val="00C6525C"/>
    <w:rsid w:val="00C65430"/>
    <w:rsid w:val="00C65CE9"/>
    <w:rsid w:val="00C6600A"/>
    <w:rsid w:val="00C66178"/>
    <w:rsid w:val="00C66406"/>
    <w:rsid w:val="00C664A2"/>
    <w:rsid w:val="00C66515"/>
    <w:rsid w:val="00C66B56"/>
    <w:rsid w:val="00C6760B"/>
    <w:rsid w:val="00C67657"/>
    <w:rsid w:val="00C67850"/>
    <w:rsid w:val="00C67BA5"/>
    <w:rsid w:val="00C67F64"/>
    <w:rsid w:val="00C7045B"/>
    <w:rsid w:val="00C71065"/>
    <w:rsid w:val="00C712C9"/>
    <w:rsid w:val="00C71610"/>
    <w:rsid w:val="00C7357C"/>
    <w:rsid w:val="00C737A1"/>
    <w:rsid w:val="00C74B95"/>
    <w:rsid w:val="00C751CF"/>
    <w:rsid w:val="00C758DF"/>
    <w:rsid w:val="00C766F9"/>
    <w:rsid w:val="00C76E73"/>
    <w:rsid w:val="00C76F1E"/>
    <w:rsid w:val="00C76F3A"/>
    <w:rsid w:val="00C76FF4"/>
    <w:rsid w:val="00C80108"/>
    <w:rsid w:val="00C80685"/>
    <w:rsid w:val="00C80FC9"/>
    <w:rsid w:val="00C829F6"/>
    <w:rsid w:val="00C82C15"/>
    <w:rsid w:val="00C83082"/>
    <w:rsid w:val="00C832BC"/>
    <w:rsid w:val="00C833AA"/>
    <w:rsid w:val="00C83D6E"/>
    <w:rsid w:val="00C85599"/>
    <w:rsid w:val="00C861CA"/>
    <w:rsid w:val="00C8646A"/>
    <w:rsid w:val="00C86775"/>
    <w:rsid w:val="00C86D32"/>
    <w:rsid w:val="00C872C1"/>
    <w:rsid w:val="00C87396"/>
    <w:rsid w:val="00C87568"/>
    <w:rsid w:val="00C875A8"/>
    <w:rsid w:val="00C90321"/>
    <w:rsid w:val="00C90889"/>
    <w:rsid w:val="00C90DA8"/>
    <w:rsid w:val="00C91108"/>
    <w:rsid w:val="00C91337"/>
    <w:rsid w:val="00C91410"/>
    <w:rsid w:val="00C91B8B"/>
    <w:rsid w:val="00C92212"/>
    <w:rsid w:val="00C928D3"/>
    <w:rsid w:val="00C92A87"/>
    <w:rsid w:val="00C937FF"/>
    <w:rsid w:val="00C93852"/>
    <w:rsid w:val="00C93E84"/>
    <w:rsid w:val="00C946B8"/>
    <w:rsid w:val="00C95359"/>
    <w:rsid w:val="00C95E0C"/>
    <w:rsid w:val="00C95E69"/>
    <w:rsid w:val="00C96754"/>
    <w:rsid w:val="00C97C5E"/>
    <w:rsid w:val="00CA0302"/>
    <w:rsid w:val="00CA03DC"/>
    <w:rsid w:val="00CA0A4D"/>
    <w:rsid w:val="00CA106D"/>
    <w:rsid w:val="00CA2299"/>
    <w:rsid w:val="00CA2D4C"/>
    <w:rsid w:val="00CA372F"/>
    <w:rsid w:val="00CA3734"/>
    <w:rsid w:val="00CA5C75"/>
    <w:rsid w:val="00CA61C1"/>
    <w:rsid w:val="00CA63C7"/>
    <w:rsid w:val="00CB03CF"/>
    <w:rsid w:val="00CB0F4A"/>
    <w:rsid w:val="00CB10B6"/>
    <w:rsid w:val="00CB1CBF"/>
    <w:rsid w:val="00CB1EE6"/>
    <w:rsid w:val="00CB2152"/>
    <w:rsid w:val="00CB23D3"/>
    <w:rsid w:val="00CB3295"/>
    <w:rsid w:val="00CB4E03"/>
    <w:rsid w:val="00CB697A"/>
    <w:rsid w:val="00CB69FF"/>
    <w:rsid w:val="00CB7394"/>
    <w:rsid w:val="00CB73BA"/>
    <w:rsid w:val="00CC225D"/>
    <w:rsid w:val="00CC24BF"/>
    <w:rsid w:val="00CC34BC"/>
    <w:rsid w:val="00CC3672"/>
    <w:rsid w:val="00CC3E98"/>
    <w:rsid w:val="00CC5678"/>
    <w:rsid w:val="00CC58FE"/>
    <w:rsid w:val="00CC5F93"/>
    <w:rsid w:val="00CC6B99"/>
    <w:rsid w:val="00CC6F9F"/>
    <w:rsid w:val="00CC7123"/>
    <w:rsid w:val="00CC7349"/>
    <w:rsid w:val="00CC74F1"/>
    <w:rsid w:val="00CC7C7B"/>
    <w:rsid w:val="00CD00FD"/>
    <w:rsid w:val="00CD0309"/>
    <w:rsid w:val="00CD0352"/>
    <w:rsid w:val="00CD0996"/>
    <w:rsid w:val="00CD1EBE"/>
    <w:rsid w:val="00CD2CEE"/>
    <w:rsid w:val="00CD39B4"/>
    <w:rsid w:val="00CD3B3F"/>
    <w:rsid w:val="00CD3B99"/>
    <w:rsid w:val="00CD45ED"/>
    <w:rsid w:val="00CD4887"/>
    <w:rsid w:val="00CD5009"/>
    <w:rsid w:val="00CD5A23"/>
    <w:rsid w:val="00CD5BF3"/>
    <w:rsid w:val="00CD66F4"/>
    <w:rsid w:val="00CD70E3"/>
    <w:rsid w:val="00CE1816"/>
    <w:rsid w:val="00CE1AE6"/>
    <w:rsid w:val="00CE1BD7"/>
    <w:rsid w:val="00CE3561"/>
    <w:rsid w:val="00CE3B43"/>
    <w:rsid w:val="00CE5C51"/>
    <w:rsid w:val="00CE606A"/>
    <w:rsid w:val="00CE63FE"/>
    <w:rsid w:val="00CE657C"/>
    <w:rsid w:val="00CE66FC"/>
    <w:rsid w:val="00CF0917"/>
    <w:rsid w:val="00CF0A65"/>
    <w:rsid w:val="00CF1778"/>
    <w:rsid w:val="00CF18CD"/>
    <w:rsid w:val="00CF1DE8"/>
    <w:rsid w:val="00CF2330"/>
    <w:rsid w:val="00CF2ADB"/>
    <w:rsid w:val="00CF37A6"/>
    <w:rsid w:val="00CF3D86"/>
    <w:rsid w:val="00CF44B4"/>
    <w:rsid w:val="00CF4734"/>
    <w:rsid w:val="00CF4883"/>
    <w:rsid w:val="00CF516F"/>
    <w:rsid w:val="00CF5513"/>
    <w:rsid w:val="00CF5A4D"/>
    <w:rsid w:val="00CF60DD"/>
    <w:rsid w:val="00CF6864"/>
    <w:rsid w:val="00CF692F"/>
    <w:rsid w:val="00CF6F71"/>
    <w:rsid w:val="00CF6FAC"/>
    <w:rsid w:val="00CF7797"/>
    <w:rsid w:val="00D000F1"/>
    <w:rsid w:val="00D003BA"/>
    <w:rsid w:val="00D00CBD"/>
    <w:rsid w:val="00D017A2"/>
    <w:rsid w:val="00D01F02"/>
    <w:rsid w:val="00D02CCC"/>
    <w:rsid w:val="00D02D0B"/>
    <w:rsid w:val="00D02D92"/>
    <w:rsid w:val="00D04A68"/>
    <w:rsid w:val="00D04BDF"/>
    <w:rsid w:val="00D04CF4"/>
    <w:rsid w:val="00D050F5"/>
    <w:rsid w:val="00D0584A"/>
    <w:rsid w:val="00D07A28"/>
    <w:rsid w:val="00D103DD"/>
    <w:rsid w:val="00D10568"/>
    <w:rsid w:val="00D109D6"/>
    <w:rsid w:val="00D126B2"/>
    <w:rsid w:val="00D12AB4"/>
    <w:rsid w:val="00D13C85"/>
    <w:rsid w:val="00D13E59"/>
    <w:rsid w:val="00D14CA5"/>
    <w:rsid w:val="00D153F7"/>
    <w:rsid w:val="00D15B09"/>
    <w:rsid w:val="00D161EB"/>
    <w:rsid w:val="00D16791"/>
    <w:rsid w:val="00D169BF"/>
    <w:rsid w:val="00D16AA0"/>
    <w:rsid w:val="00D16E4A"/>
    <w:rsid w:val="00D17367"/>
    <w:rsid w:val="00D1796D"/>
    <w:rsid w:val="00D17BC1"/>
    <w:rsid w:val="00D20259"/>
    <w:rsid w:val="00D20882"/>
    <w:rsid w:val="00D208F5"/>
    <w:rsid w:val="00D20984"/>
    <w:rsid w:val="00D235FB"/>
    <w:rsid w:val="00D248A0"/>
    <w:rsid w:val="00D24BC5"/>
    <w:rsid w:val="00D253F1"/>
    <w:rsid w:val="00D256AC"/>
    <w:rsid w:val="00D25B7B"/>
    <w:rsid w:val="00D25FB0"/>
    <w:rsid w:val="00D262B8"/>
    <w:rsid w:val="00D26626"/>
    <w:rsid w:val="00D27AC7"/>
    <w:rsid w:val="00D3110A"/>
    <w:rsid w:val="00D323AD"/>
    <w:rsid w:val="00D32414"/>
    <w:rsid w:val="00D324E7"/>
    <w:rsid w:val="00D3265A"/>
    <w:rsid w:val="00D33C21"/>
    <w:rsid w:val="00D33FCF"/>
    <w:rsid w:val="00D33FD1"/>
    <w:rsid w:val="00D34601"/>
    <w:rsid w:val="00D34B93"/>
    <w:rsid w:val="00D350B6"/>
    <w:rsid w:val="00D353AA"/>
    <w:rsid w:val="00D35A0F"/>
    <w:rsid w:val="00D35D3D"/>
    <w:rsid w:val="00D360D0"/>
    <w:rsid w:val="00D36F25"/>
    <w:rsid w:val="00D37A6A"/>
    <w:rsid w:val="00D37C5C"/>
    <w:rsid w:val="00D40912"/>
    <w:rsid w:val="00D40F4D"/>
    <w:rsid w:val="00D41803"/>
    <w:rsid w:val="00D4295B"/>
    <w:rsid w:val="00D42BF1"/>
    <w:rsid w:val="00D4303A"/>
    <w:rsid w:val="00D43824"/>
    <w:rsid w:val="00D43873"/>
    <w:rsid w:val="00D4387C"/>
    <w:rsid w:val="00D43D21"/>
    <w:rsid w:val="00D45AEA"/>
    <w:rsid w:val="00D46E02"/>
    <w:rsid w:val="00D4745A"/>
    <w:rsid w:val="00D475DE"/>
    <w:rsid w:val="00D47C3C"/>
    <w:rsid w:val="00D50D9A"/>
    <w:rsid w:val="00D5185E"/>
    <w:rsid w:val="00D51CA6"/>
    <w:rsid w:val="00D51D4F"/>
    <w:rsid w:val="00D52624"/>
    <w:rsid w:val="00D52C47"/>
    <w:rsid w:val="00D52F79"/>
    <w:rsid w:val="00D54C63"/>
    <w:rsid w:val="00D5520A"/>
    <w:rsid w:val="00D55A8B"/>
    <w:rsid w:val="00D55CE2"/>
    <w:rsid w:val="00D56B36"/>
    <w:rsid w:val="00D605F9"/>
    <w:rsid w:val="00D616D2"/>
    <w:rsid w:val="00D6215D"/>
    <w:rsid w:val="00D62EDA"/>
    <w:rsid w:val="00D62F37"/>
    <w:rsid w:val="00D63D95"/>
    <w:rsid w:val="00D64893"/>
    <w:rsid w:val="00D64B4F"/>
    <w:rsid w:val="00D64C97"/>
    <w:rsid w:val="00D65A10"/>
    <w:rsid w:val="00D65F41"/>
    <w:rsid w:val="00D674B8"/>
    <w:rsid w:val="00D677D2"/>
    <w:rsid w:val="00D67849"/>
    <w:rsid w:val="00D67A0F"/>
    <w:rsid w:val="00D67C7E"/>
    <w:rsid w:val="00D70909"/>
    <w:rsid w:val="00D7153F"/>
    <w:rsid w:val="00D72302"/>
    <w:rsid w:val="00D72408"/>
    <w:rsid w:val="00D72FA3"/>
    <w:rsid w:val="00D75A9D"/>
    <w:rsid w:val="00D75F3B"/>
    <w:rsid w:val="00D76D6F"/>
    <w:rsid w:val="00D80532"/>
    <w:rsid w:val="00D809ED"/>
    <w:rsid w:val="00D811C2"/>
    <w:rsid w:val="00D812D4"/>
    <w:rsid w:val="00D81BB3"/>
    <w:rsid w:val="00D82582"/>
    <w:rsid w:val="00D82A8A"/>
    <w:rsid w:val="00D82B4D"/>
    <w:rsid w:val="00D845F0"/>
    <w:rsid w:val="00D84FD1"/>
    <w:rsid w:val="00D85792"/>
    <w:rsid w:val="00D86E81"/>
    <w:rsid w:val="00D8779A"/>
    <w:rsid w:val="00D9094F"/>
    <w:rsid w:val="00D90EE7"/>
    <w:rsid w:val="00D90F1B"/>
    <w:rsid w:val="00D91D20"/>
    <w:rsid w:val="00D933E9"/>
    <w:rsid w:val="00D93A46"/>
    <w:rsid w:val="00D947E9"/>
    <w:rsid w:val="00D94B83"/>
    <w:rsid w:val="00D94B9F"/>
    <w:rsid w:val="00D95873"/>
    <w:rsid w:val="00D96009"/>
    <w:rsid w:val="00D962B5"/>
    <w:rsid w:val="00D96997"/>
    <w:rsid w:val="00D96A31"/>
    <w:rsid w:val="00D96B70"/>
    <w:rsid w:val="00D97293"/>
    <w:rsid w:val="00D97316"/>
    <w:rsid w:val="00DA03B4"/>
    <w:rsid w:val="00DA07E2"/>
    <w:rsid w:val="00DA0A1F"/>
    <w:rsid w:val="00DA1A60"/>
    <w:rsid w:val="00DA2B15"/>
    <w:rsid w:val="00DA3355"/>
    <w:rsid w:val="00DA34AC"/>
    <w:rsid w:val="00DA4213"/>
    <w:rsid w:val="00DA50E7"/>
    <w:rsid w:val="00DA5708"/>
    <w:rsid w:val="00DA5CD0"/>
    <w:rsid w:val="00DA7678"/>
    <w:rsid w:val="00DB0A2A"/>
    <w:rsid w:val="00DB118C"/>
    <w:rsid w:val="00DB19A8"/>
    <w:rsid w:val="00DB1B7F"/>
    <w:rsid w:val="00DB206E"/>
    <w:rsid w:val="00DB28AE"/>
    <w:rsid w:val="00DB2DA2"/>
    <w:rsid w:val="00DB334F"/>
    <w:rsid w:val="00DB37E1"/>
    <w:rsid w:val="00DB39E7"/>
    <w:rsid w:val="00DB3CDF"/>
    <w:rsid w:val="00DB3F39"/>
    <w:rsid w:val="00DB439E"/>
    <w:rsid w:val="00DB48BA"/>
    <w:rsid w:val="00DB4B62"/>
    <w:rsid w:val="00DB5105"/>
    <w:rsid w:val="00DB5F08"/>
    <w:rsid w:val="00DB6D8B"/>
    <w:rsid w:val="00DB7B55"/>
    <w:rsid w:val="00DC4394"/>
    <w:rsid w:val="00DC43DB"/>
    <w:rsid w:val="00DC4CD2"/>
    <w:rsid w:val="00DC5351"/>
    <w:rsid w:val="00DC57CB"/>
    <w:rsid w:val="00DC6633"/>
    <w:rsid w:val="00DC6D31"/>
    <w:rsid w:val="00DC70FD"/>
    <w:rsid w:val="00DC772A"/>
    <w:rsid w:val="00DD0E54"/>
    <w:rsid w:val="00DD1620"/>
    <w:rsid w:val="00DD196A"/>
    <w:rsid w:val="00DD1FEB"/>
    <w:rsid w:val="00DD2140"/>
    <w:rsid w:val="00DD271C"/>
    <w:rsid w:val="00DD2BED"/>
    <w:rsid w:val="00DD2DFE"/>
    <w:rsid w:val="00DD3238"/>
    <w:rsid w:val="00DD327C"/>
    <w:rsid w:val="00DD374F"/>
    <w:rsid w:val="00DD38B1"/>
    <w:rsid w:val="00DD40C9"/>
    <w:rsid w:val="00DD443A"/>
    <w:rsid w:val="00DD4469"/>
    <w:rsid w:val="00DD456E"/>
    <w:rsid w:val="00DD4B9C"/>
    <w:rsid w:val="00DD574C"/>
    <w:rsid w:val="00DD6947"/>
    <w:rsid w:val="00DD6A5E"/>
    <w:rsid w:val="00DD71B8"/>
    <w:rsid w:val="00DE02D3"/>
    <w:rsid w:val="00DE061C"/>
    <w:rsid w:val="00DE0C59"/>
    <w:rsid w:val="00DE11FB"/>
    <w:rsid w:val="00DE4247"/>
    <w:rsid w:val="00DE4588"/>
    <w:rsid w:val="00DE4C16"/>
    <w:rsid w:val="00DE5D1F"/>
    <w:rsid w:val="00DE6348"/>
    <w:rsid w:val="00DF08D0"/>
    <w:rsid w:val="00DF0A0E"/>
    <w:rsid w:val="00DF12A1"/>
    <w:rsid w:val="00DF238C"/>
    <w:rsid w:val="00DF2A1D"/>
    <w:rsid w:val="00DF2EA2"/>
    <w:rsid w:val="00DF4534"/>
    <w:rsid w:val="00DF50E3"/>
    <w:rsid w:val="00DF50EB"/>
    <w:rsid w:val="00DF5196"/>
    <w:rsid w:val="00DF5401"/>
    <w:rsid w:val="00DF5B16"/>
    <w:rsid w:val="00DF6D4B"/>
    <w:rsid w:val="00DF778B"/>
    <w:rsid w:val="00DF7936"/>
    <w:rsid w:val="00E00E08"/>
    <w:rsid w:val="00E03060"/>
    <w:rsid w:val="00E03643"/>
    <w:rsid w:val="00E050EA"/>
    <w:rsid w:val="00E0526E"/>
    <w:rsid w:val="00E061F4"/>
    <w:rsid w:val="00E0657D"/>
    <w:rsid w:val="00E06EFB"/>
    <w:rsid w:val="00E07116"/>
    <w:rsid w:val="00E105AF"/>
    <w:rsid w:val="00E11AF2"/>
    <w:rsid w:val="00E12530"/>
    <w:rsid w:val="00E137F9"/>
    <w:rsid w:val="00E14BD5"/>
    <w:rsid w:val="00E14FF5"/>
    <w:rsid w:val="00E16128"/>
    <w:rsid w:val="00E16FA4"/>
    <w:rsid w:val="00E17775"/>
    <w:rsid w:val="00E2059C"/>
    <w:rsid w:val="00E21420"/>
    <w:rsid w:val="00E21D77"/>
    <w:rsid w:val="00E22AA6"/>
    <w:rsid w:val="00E2350C"/>
    <w:rsid w:val="00E23776"/>
    <w:rsid w:val="00E240F7"/>
    <w:rsid w:val="00E2422B"/>
    <w:rsid w:val="00E24255"/>
    <w:rsid w:val="00E242AA"/>
    <w:rsid w:val="00E25821"/>
    <w:rsid w:val="00E25B57"/>
    <w:rsid w:val="00E25EBD"/>
    <w:rsid w:val="00E277C2"/>
    <w:rsid w:val="00E27B74"/>
    <w:rsid w:val="00E27E01"/>
    <w:rsid w:val="00E27F53"/>
    <w:rsid w:val="00E30C2B"/>
    <w:rsid w:val="00E3132D"/>
    <w:rsid w:val="00E318C3"/>
    <w:rsid w:val="00E320E3"/>
    <w:rsid w:val="00E32736"/>
    <w:rsid w:val="00E327AC"/>
    <w:rsid w:val="00E3291B"/>
    <w:rsid w:val="00E32DA8"/>
    <w:rsid w:val="00E32F12"/>
    <w:rsid w:val="00E33312"/>
    <w:rsid w:val="00E3340C"/>
    <w:rsid w:val="00E33568"/>
    <w:rsid w:val="00E345F0"/>
    <w:rsid w:val="00E4163B"/>
    <w:rsid w:val="00E423C2"/>
    <w:rsid w:val="00E42A67"/>
    <w:rsid w:val="00E43576"/>
    <w:rsid w:val="00E44147"/>
    <w:rsid w:val="00E45598"/>
    <w:rsid w:val="00E46452"/>
    <w:rsid w:val="00E504A0"/>
    <w:rsid w:val="00E51647"/>
    <w:rsid w:val="00E51836"/>
    <w:rsid w:val="00E51B4A"/>
    <w:rsid w:val="00E52F5A"/>
    <w:rsid w:val="00E535C6"/>
    <w:rsid w:val="00E54165"/>
    <w:rsid w:val="00E54FF6"/>
    <w:rsid w:val="00E56020"/>
    <w:rsid w:val="00E560DB"/>
    <w:rsid w:val="00E5653E"/>
    <w:rsid w:val="00E61326"/>
    <w:rsid w:val="00E61E83"/>
    <w:rsid w:val="00E62ED2"/>
    <w:rsid w:val="00E62EDF"/>
    <w:rsid w:val="00E6416E"/>
    <w:rsid w:val="00E64D11"/>
    <w:rsid w:val="00E64F60"/>
    <w:rsid w:val="00E65E06"/>
    <w:rsid w:val="00E668C9"/>
    <w:rsid w:val="00E66D40"/>
    <w:rsid w:val="00E67F1C"/>
    <w:rsid w:val="00E707B4"/>
    <w:rsid w:val="00E70D55"/>
    <w:rsid w:val="00E712F7"/>
    <w:rsid w:val="00E71B20"/>
    <w:rsid w:val="00E73C39"/>
    <w:rsid w:val="00E75ABE"/>
    <w:rsid w:val="00E761D7"/>
    <w:rsid w:val="00E76234"/>
    <w:rsid w:val="00E762FA"/>
    <w:rsid w:val="00E7630C"/>
    <w:rsid w:val="00E76894"/>
    <w:rsid w:val="00E7764A"/>
    <w:rsid w:val="00E77AAD"/>
    <w:rsid w:val="00E77FE2"/>
    <w:rsid w:val="00E806D1"/>
    <w:rsid w:val="00E806EE"/>
    <w:rsid w:val="00E8348C"/>
    <w:rsid w:val="00E84157"/>
    <w:rsid w:val="00E84EDA"/>
    <w:rsid w:val="00E84FE0"/>
    <w:rsid w:val="00E85123"/>
    <w:rsid w:val="00E857FB"/>
    <w:rsid w:val="00E85F42"/>
    <w:rsid w:val="00E867F6"/>
    <w:rsid w:val="00E86999"/>
    <w:rsid w:val="00E873A6"/>
    <w:rsid w:val="00E8760A"/>
    <w:rsid w:val="00E902F9"/>
    <w:rsid w:val="00E9038C"/>
    <w:rsid w:val="00E9058D"/>
    <w:rsid w:val="00E90D5A"/>
    <w:rsid w:val="00E90EF5"/>
    <w:rsid w:val="00E9173B"/>
    <w:rsid w:val="00E9211A"/>
    <w:rsid w:val="00E9273B"/>
    <w:rsid w:val="00E92928"/>
    <w:rsid w:val="00E9327B"/>
    <w:rsid w:val="00E936C4"/>
    <w:rsid w:val="00E94CD2"/>
    <w:rsid w:val="00E9510A"/>
    <w:rsid w:val="00E96857"/>
    <w:rsid w:val="00E969EF"/>
    <w:rsid w:val="00E96C14"/>
    <w:rsid w:val="00E9732A"/>
    <w:rsid w:val="00EA0238"/>
    <w:rsid w:val="00EA0BA7"/>
    <w:rsid w:val="00EA1190"/>
    <w:rsid w:val="00EA1603"/>
    <w:rsid w:val="00EA19CE"/>
    <w:rsid w:val="00EA1D34"/>
    <w:rsid w:val="00EA1E73"/>
    <w:rsid w:val="00EA1FDB"/>
    <w:rsid w:val="00EA2A77"/>
    <w:rsid w:val="00EA2C94"/>
    <w:rsid w:val="00EA3223"/>
    <w:rsid w:val="00EA39DC"/>
    <w:rsid w:val="00EA3B24"/>
    <w:rsid w:val="00EA4300"/>
    <w:rsid w:val="00EA53A6"/>
    <w:rsid w:val="00EA59C0"/>
    <w:rsid w:val="00EA5DB5"/>
    <w:rsid w:val="00EA7F75"/>
    <w:rsid w:val="00EB03D6"/>
    <w:rsid w:val="00EB0C2F"/>
    <w:rsid w:val="00EB1B1F"/>
    <w:rsid w:val="00EB22A0"/>
    <w:rsid w:val="00EB3230"/>
    <w:rsid w:val="00EB396D"/>
    <w:rsid w:val="00EB6172"/>
    <w:rsid w:val="00EB6FB1"/>
    <w:rsid w:val="00EB7AFE"/>
    <w:rsid w:val="00EC05CD"/>
    <w:rsid w:val="00EC066A"/>
    <w:rsid w:val="00EC0C4D"/>
    <w:rsid w:val="00EC0D8A"/>
    <w:rsid w:val="00EC10CE"/>
    <w:rsid w:val="00EC20F2"/>
    <w:rsid w:val="00EC3885"/>
    <w:rsid w:val="00EC3A1B"/>
    <w:rsid w:val="00EC4F71"/>
    <w:rsid w:val="00EC5521"/>
    <w:rsid w:val="00EC58B2"/>
    <w:rsid w:val="00EC5A4F"/>
    <w:rsid w:val="00EC5B82"/>
    <w:rsid w:val="00EC6487"/>
    <w:rsid w:val="00EC66A6"/>
    <w:rsid w:val="00EC715B"/>
    <w:rsid w:val="00EC71B8"/>
    <w:rsid w:val="00EC777D"/>
    <w:rsid w:val="00EC77C3"/>
    <w:rsid w:val="00ED0D28"/>
    <w:rsid w:val="00ED26CD"/>
    <w:rsid w:val="00ED371B"/>
    <w:rsid w:val="00ED3FFE"/>
    <w:rsid w:val="00ED4C6B"/>
    <w:rsid w:val="00ED5835"/>
    <w:rsid w:val="00ED5939"/>
    <w:rsid w:val="00ED5A1F"/>
    <w:rsid w:val="00ED5C48"/>
    <w:rsid w:val="00ED61B7"/>
    <w:rsid w:val="00ED62AA"/>
    <w:rsid w:val="00ED6BAA"/>
    <w:rsid w:val="00ED6BE9"/>
    <w:rsid w:val="00ED6BF0"/>
    <w:rsid w:val="00ED79BE"/>
    <w:rsid w:val="00EE0B4C"/>
    <w:rsid w:val="00EE110B"/>
    <w:rsid w:val="00EE179A"/>
    <w:rsid w:val="00EE35B4"/>
    <w:rsid w:val="00EE3899"/>
    <w:rsid w:val="00EE3A14"/>
    <w:rsid w:val="00EE42BC"/>
    <w:rsid w:val="00EE4A86"/>
    <w:rsid w:val="00EE5E7A"/>
    <w:rsid w:val="00EE64FF"/>
    <w:rsid w:val="00EE725A"/>
    <w:rsid w:val="00EE7692"/>
    <w:rsid w:val="00EF0008"/>
    <w:rsid w:val="00EF096D"/>
    <w:rsid w:val="00EF1E0C"/>
    <w:rsid w:val="00EF201A"/>
    <w:rsid w:val="00EF2797"/>
    <w:rsid w:val="00EF2E60"/>
    <w:rsid w:val="00EF324C"/>
    <w:rsid w:val="00EF3813"/>
    <w:rsid w:val="00EF3D08"/>
    <w:rsid w:val="00EF3DEA"/>
    <w:rsid w:val="00EF4038"/>
    <w:rsid w:val="00EF4353"/>
    <w:rsid w:val="00EF46A9"/>
    <w:rsid w:val="00EF589C"/>
    <w:rsid w:val="00EF5D5E"/>
    <w:rsid w:val="00F0054E"/>
    <w:rsid w:val="00F009EE"/>
    <w:rsid w:val="00F0105C"/>
    <w:rsid w:val="00F011F5"/>
    <w:rsid w:val="00F01819"/>
    <w:rsid w:val="00F02992"/>
    <w:rsid w:val="00F053EC"/>
    <w:rsid w:val="00F05D68"/>
    <w:rsid w:val="00F06BBC"/>
    <w:rsid w:val="00F076A8"/>
    <w:rsid w:val="00F07E50"/>
    <w:rsid w:val="00F10033"/>
    <w:rsid w:val="00F111BC"/>
    <w:rsid w:val="00F11DFD"/>
    <w:rsid w:val="00F11E29"/>
    <w:rsid w:val="00F127F6"/>
    <w:rsid w:val="00F13B8E"/>
    <w:rsid w:val="00F1514E"/>
    <w:rsid w:val="00F153B4"/>
    <w:rsid w:val="00F15EED"/>
    <w:rsid w:val="00F15F9A"/>
    <w:rsid w:val="00F16384"/>
    <w:rsid w:val="00F171AB"/>
    <w:rsid w:val="00F173A6"/>
    <w:rsid w:val="00F1744D"/>
    <w:rsid w:val="00F17E49"/>
    <w:rsid w:val="00F21A96"/>
    <w:rsid w:val="00F21B18"/>
    <w:rsid w:val="00F227E2"/>
    <w:rsid w:val="00F232FD"/>
    <w:rsid w:val="00F23546"/>
    <w:rsid w:val="00F23BFE"/>
    <w:rsid w:val="00F23CD6"/>
    <w:rsid w:val="00F23CDF"/>
    <w:rsid w:val="00F2403F"/>
    <w:rsid w:val="00F24AB5"/>
    <w:rsid w:val="00F26425"/>
    <w:rsid w:val="00F26737"/>
    <w:rsid w:val="00F30434"/>
    <w:rsid w:val="00F30DBD"/>
    <w:rsid w:val="00F31B5A"/>
    <w:rsid w:val="00F322A6"/>
    <w:rsid w:val="00F32DBA"/>
    <w:rsid w:val="00F33C85"/>
    <w:rsid w:val="00F33F48"/>
    <w:rsid w:val="00F3408F"/>
    <w:rsid w:val="00F3463B"/>
    <w:rsid w:val="00F34C10"/>
    <w:rsid w:val="00F355BF"/>
    <w:rsid w:val="00F36008"/>
    <w:rsid w:val="00F3742B"/>
    <w:rsid w:val="00F37FEA"/>
    <w:rsid w:val="00F40105"/>
    <w:rsid w:val="00F419F9"/>
    <w:rsid w:val="00F42BEF"/>
    <w:rsid w:val="00F42DC0"/>
    <w:rsid w:val="00F42E02"/>
    <w:rsid w:val="00F430EB"/>
    <w:rsid w:val="00F435C2"/>
    <w:rsid w:val="00F43822"/>
    <w:rsid w:val="00F4383F"/>
    <w:rsid w:val="00F439AC"/>
    <w:rsid w:val="00F44CC9"/>
    <w:rsid w:val="00F46331"/>
    <w:rsid w:val="00F46889"/>
    <w:rsid w:val="00F468A2"/>
    <w:rsid w:val="00F46E42"/>
    <w:rsid w:val="00F47027"/>
    <w:rsid w:val="00F4745C"/>
    <w:rsid w:val="00F479D3"/>
    <w:rsid w:val="00F47BA8"/>
    <w:rsid w:val="00F50876"/>
    <w:rsid w:val="00F50CF0"/>
    <w:rsid w:val="00F50E7B"/>
    <w:rsid w:val="00F510A9"/>
    <w:rsid w:val="00F5124A"/>
    <w:rsid w:val="00F51740"/>
    <w:rsid w:val="00F51F2D"/>
    <w:rsid w:val="00F52503"/>
    <w:rsid w:val="00F53CA3"/>
    <w:rsid w:val="00F55056"/>
    <w:rsid w:val="00F558A6"/>
    <w:rsid w:val="00F55CDC"/>
    <w:rsid w:val="00F56047"/>
    <w:rsid w:val="00F56A0F"/>
    <w:rsid w:val="00F5702C"/>
    <w:rsid w:val="00F579FA"/>
    <w:rsid w:val="00F57CEB"/>
    <w:rsid w:val="00F6140F"/>
    <w:rsid w:val="00F618FC"/>
    <w:rsid w:val="00F61EFF"/>
    <w:rsid w:val="00F61FE2"/>
    <w:rsid w:val="00F62662"/>
    <w:rsid w:val="00F64826"/>
    <w:rsid w:val="00F64CFE"/>
    <w:rsid w:val="00F65116"/>
    <w:rsid w:val="00F659A4"/>
    <w:rsid w:val="00F65EF3"/>
    <w:rsid w:val="00F6625E"/>
    <w:rsid w:val="00F662F2"/>
    <w:rsid w:val="00F66461"/>
    <w:rsid w:val="00F6676F"/>
    <w:rsid w:val="00F66993"/>
    <w:rsid w:val="00F67144"/>
    <w:rsid w:val="00F67B60"/>
    <w:rsid w:val="00F706E1"/>
    <w:rsid w:val="00F713B6"/>
    <w:rsid w:val="00F7371D"/>
    <w:rsid w:val="00F738C4"/>
    <w:rsid w:val="00F743D4"/>
    <w:rsid w:val="00F751ED"/>
    <w:rsid w:val="00F7531A"/>
    <w:rsid w:val="00F7609B"/>
    <w:rsid w:val="00F76257"/>
    <w:rsid w:val="00F76B40"/>
    <w:rsid w:val="00F76E6F"/>
    <w:rsid w:val="00F81BB6"/>
    <w:rsid w:val="00F83867"/>
    <w:rsid w:val="00F840BF"/>
    <w:rsid w:val="00F84736"/>
    <w:rsid w:val="00F847F7"/>
    <w:rsid w:val="00F85219"/>
    <w:rsid w:val="00F86A73"/>
    <w:rsid w:val="00F86CB5"/>
    <w:rsid w:val="00F86D6A"/>
    <w:rsid w:val="00F872DD"/>
    <w:rsid w:val="00F877B0"/>
    <w:rsid w:val="00F9030D"/>
    <w:rsid w:val="00F9039D"/>
    <w:rsid w:val="00F91254"/>
    <w:rsid w:val="00F91768"/>
    <w:rsid w:val="00F921F3"/>
    <w:rsid w:val="00F9266D"/>
    <w:rsid w:val="00F94033"/>
    <w:rsid w:val="00F948C0"/>
    <w:rsid w:val="00F94C5C"/>
    <w:rsid w:val="00F95381"/>
    <w:rsid w:val="00F96549"/>
    <w:rsid w:val="00F97C8E"/>
    <w:rsid w:val="00FA02D7"/>
    <w:rsid w:val="00FA0DAA"/>
    <w:rsid w:val="00FA1609"/>
    <w:rsid w:val="00FA1793"/>
    <w:rsid w:val="00FA244D"/>
    <w:rsid w:val="00FA26A7"/>
    <w:rsid w:val="00FA2BE5"/>
    <w:rsid w:val="00FA31A4"/>
    <w:rsid w:val="00FA3DC8"/>
    <w:rsid w:val="00FA4255"/>
    <w:rsid w:val="00FA4638"/>
    <w:rsid w:val="00FA4907"/>
    <w:rsid w:val="00FA4DB3"/>
    <w:rsid w:val="00FA547C"/>
    <w:rsid w:val="00FA5E8D"/>
    <w:rsid w:val="00FA6827"/>
    <w:rsid w:val="00FA715E"/>
    <w:rsid w:val="00FA738F"/>
    <w:rsid w:val="00FB0350"/>
    <w:rsid w:val="00FB16B8"/>
    <w:rsid w:val="00FB1759"/>
    <w:rsid w:val="00FB1771"/>
    <w:rsid w:val="00FB17C5"/>
    <w:rsid w:val="00FB36C1"/>
    <w:rsid w:val="00FB4B3A"/>
    <w:rsid w:val="00FB575D"/>
    <w:rsid w:val="00FB5D1E"/>
    <w:rsid w:val="00FB626E"/>
    <w:rsid w:val="00FB68E7"/>
    <w:rsid w:val="00FC0357"/>
    <w:rsid w:val="00FC04FB"/>
    <w:rsid w:val="00FC0C2A"/>
    <w:rsid w:val="00FC0F94"/>
    <w:rsid w:val="00FC124F"/>
    <w:rsid w:val="00FC21CE"/>
    <w:rsid w:val="00FC375A"/>
    <w:rsid w:val="00FC40C8"/>
    <w:rsid w:val="00FC416B"/>
    <w:rsid w:val="00FC440C"/>
    <w:rsid w:val="00FC46D6"/>
    <w:rsid w:val="00FC4EB3"/>
    <w:rsid w:val="00FC5061"/>
    <w:rsid w:val="00FC53E8"/>
    <w:rsid w:val="00FC6906"/>
    <w:rsid w:val="00FC6F3B"/>
    <w:rsid w:val="00FC78BB"/>
    <w:rsid w:val="00FC7ADE"/>
    <w:rsid w:val="00FC7FEB"/>
    <w:rsid w:val="00FD0186"/>
    <w:rsid w:val="00FD046A"/>
    <w:rsid w:val="00FD0766"/>
    <w:rsid w:val="00FD18F4"/>
    <w:rsid w:val="00FD1E0D"/>
    <w:rsid w:val="00FD2256"/>
    <w:rsid w:val="00FD3698"/>
    <w:rsid w:val="00FD412D"/>
    <w:rsid w:val="00FD4A39"/>
    <w:rsid w:val="00FD4D08"/>
    <w:rsid w:val="00FD5345"/>
    <w:rsid w:val="00FD5ACC"/>
    <w:rsid w:val="00FD63BD"/>
    <w:rsid w:val="00FD675B"/>
    <w:rsid w:val="00FD6806"/>
    <w:rsid w:val="00FD6E64"/>
    <w:rsid w:val="00FD71A3"/>
    <w:rsid w:val="00FE0C2B"/>
    <w:rsid w:val="00FE10A5"/>
    <w:rsid w:val="00FE1445"/>
    <w:rsid w:val="00FE1F4F"/>
    <w:rsid w:val="00FE20D9"/>
    <w:rsid w:val="00FE3778"/>
    <w:rsid w:val="00FE40B4"/>
    <w:rsid w:val="00FE41D4"/>
    <w:rsid w:val="00FE4C56"/>
    <w:rsid w:val="00FE5AEC"/>
    <w:rsid w:val="00FE66EB"/>
    <w:rsid w:val="00FE702F"/>
    <w:rsid w:val="00FF14EF"/>
    <w:rsid w:val="00FF283B"/>
    <w:rsid w:val="00FF3CFC"/>
    <w:rsid w:val="00FF4362"/>
    <w:rsid w:val="00FF4C6D"/>
    <w:rsid w:val="00FF5246"/>
    <w:rsid w:val="00FF532C"/>
    <w:rsid w:val="00FF6074"/>
    <w:rsid w:val="00FF62D6"/>
    <w:rsid w:val="00FF6446"/>
    <w:rsid w:val="00FF695A"/>
    <w:rsid w:val="00FF6C3B"/>
    <w:rsid w:val="020D3D0E"/>
    <w:rsid w:val="03190CB5"/>
    <w:rsid w:val="089B6A2F"/>
    <w:rsid w:val="0A305300"/>
    <w:rsid w:val="0DF56526"/>
    <w:rsid w:val="0E7771D7"/>
    <w:rsid w:val="0EF821C0"/>
    <w:rsid w:val="0F633AAF"/>
    <w:rsid w:val="0F692FC4"/>
    <w:rsid w:val="0FD675F5"/>
    <w:rsid w:val="109A3B9B"/>
    <w:rsid w:val="10FF054D"/>
    <w:rsid w:val="114A48C1"/>
    <w:rsid w:val="130B11E0"/>
    <w:rsid w:val="142871A8"/>
    <w:rsid w:val="14504752"/>
    <w:rsid w:val="150F3CC6"/>
    <w:rsid w:val="15DA1153"/>
    <w:rsid w:val="16BC7E7D"/>
    <w:rsid w:val="18BA42B4"/>
    <w:rsid w:val="192561AE"/>
    <w:rsid w:val="19FF4339"/>
    <w:rsid w:val="1A046A48"/>
    <w:rsid w:val="1A846F04"/>
    <w:rsid w:val="1A855B6C"/>
    <w:rsid w:val="1B2F31B4"/>
    <w:rsid w:val="1CCE51CD"/>
    <w:rsid w:val="21617F9F"/>
    <w:rsid w:val="22567865"/>
    <w:rsid w:val="230E1EB0"/>
    <w:rsid w:val="27013446"/>
    <w:rsid w:val="29E60C5A"/>
    <w:rsid w:val="2A0302E3"/>
    <w:rsid w:val="2AE72AFF"/>
    <w:rsid w:val="2FBE3786"/>
    <w:rsid w:val="2FC71915"/>
    <w:rsid w:val="32C505B1"/>
    <w:rsid w:val="32CE7302"/>
    <w:rsid w:val="33613E2E"/>
    <w:rsid w:val="337F6063"/>
    <w:rsid w:val="37CE1367"/>
    <w:rsid w:val="3AD2116E"/>
    <w:rsid w:val="3B4A1CE2"/>
    <w:rsid w:val="3C425D0E"/>
    <w:rsid w:val="3DB1150E"/>
    <w:rsid w:val="3DB4642E"/>
    <w:rsid w:val="3E6F7FA2"/>
    <w:rsid w:val="3F47456C"/>
    <w:rsid w:val="40844CB8"/>
    <w:rsid w:val="40E96AC9"/>
    <w:rsid w:val="44EF1F91"/>
    <w:rsid w:val="468A6CA8"/>
    <w:rsid w:val="47CB489D"/>
    <w:rsid w:val="480F1C53"/>
    <w:rsid w:val="48205A30"/>
    <w:rsid w:val="4AC41483"/>
    <w:rsid w:val="4BBC7098"/>
    <w:rsid w:val="4DA8648A"/>
    <w:rsid w:val="4F843991"/>
    <w:rsid w:val="500656EA"/>
    <w:rsid w:val="551D4F70"/>
    <w:rsid w:val="56723215"/>
    <w:rsid w:val="570D735E"/>
    <w:rsid w:val="581168F0"/>
    <w:rsid w:val="586430D6"/>
    <w:rsid w:val="5947772F"/>
    <w:rsid w:val="59C6031C"/>
    <w:rsid w:val="5A8E21CC"/>
    <w:rsid w:val="5CD73824"/>
    <w:rsid w:val="5E2002BE"/>
    <w:rsid w:val="5E3141A0"/>
    <w:rsid w:val="5E7F2CAC"/>
    <w:rsid w:val="5EC517C9"/>
    <w:rsid w:val="5ED41180"/>
    <w:rsid w:val="5FEB5EDB"/>
    <w:rsid w:val="608368E3"/>
    <w:rsid w:val="60E07891"/>
    <w:rsid w:val="61D8184A"/>
    <w:rsid w:val="632C51C3"/>
    <w:rsid w:val="63E679FF"/>
    <w:rsid w:val="65C854C3"/>
    <w:rsid w:val="673975A8"/>
    <w:rsid w:val="680F0299"/>
    <w:rsid w:val="68532437"/>
    <w:rsid w:val="694856C8"/>
    <w:rsid w:val="69AC4F70"/>
    <w:rsid w:val="6B367334"/>
    <w:rsid w:val="6E8706ED"/>
    <w:rsid w:val="6FCA008A"/>
    <w:rsid w:val="6FED4928"/>
    <w:rsid w:val="723E37DC"/>
    <w:rsid w:val="740C1080"/>
    <w:rsid w:val="75385A96"/>
    <w:rsid w:val="7592164A"/>
    <w:rsid w:val="77B91110"/>
    <w:rsid w:val="77CB0E43"/>
    <w:rsid w:val="780B58F1"/>
    <w:rsid w:val="7A640CBB"/>
    <w:rsid w:val="7AF4245F"/>
    <w:rsid w:val="7CB35E95"/>
    <w:rsid w:val="7CE34539"/>
    <w:rsid w:val="7DCA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table of authorities"/>
    <w:basedOn w:val="1"/>
    <w:next w:val="1"/>
    <w:qFormat/>
    <w:uiPriority w:val="0"/>
    <w:pPr>
      <w:ind w:left="420" w:leftChars="200"/>
    </w:pPr>
    <w:rPr>
      <w:rFonts w:ascii="Times New Roman" w:hAnsi="Times New Roman"/>
    </w:rPr>
  </w:style>
  <w:style w:type="paragraph" w:styleId="8">
    <w:name w:val="Normal Indent"/>
    <w:basedOn w:val="1"/>
    <w:qFormat/>
    <w:uiPriority w:val="0"/>
    <w:pPr>
      <w:ind w:firstLine="880" w:firstLineChars="200"/>
    </w:pPr>
  </w:style>
  <w:style w:type="paragraph" w:styleId="9">
    <w:name w:val="annotation text"/>
    <w:basedOn w:val="1"/>
    <w:link w:val="36"/>
    <w:qFormat/>
    <w:uiPriority w:val="0"/>
    <w:pPr>
      <w:jc w:val="left"/>
    </w:pPr>
  </w:style>
  <w:style w:type="paragraph" w:styleId="10">
    <w:name w:val="Block Text"/>
    <w:basedOn w:val="1"/>
    <w:qFormat/>
    <w:uiPriority w:val="0"/>
    <w:pPr>
      <w:spacing w:before="100" w:beforeAutospacing="1" w:after="120"/>
      <w:ind w:left="1440" w:leftChars="700" w:right="700" w:rightChars="700"/>
    </w:pPr>
    <w:rPr>
      <w:rFonts w:ascii="Calibri" w:hAnsi="Calibri" w:eastAsia="宋体" w:cs="Times New Roman"/>
    </w:rPr>
  </w:style>
  <w:style w:type="paragraph" w:styleId="11">
    <w:name w:val="toc 3"/>
    <w:basedOn w:val="1"/>
    <w:next w:val="1"/>
    <w:qFormat/>
    <w:uiPriority w:val="39"/>
    <w:pPr>
      <w:ind w:left="840" w:leftChars="400"/>
    </w:pPr>
  </w:style>
  <w:style w:type="paragraph" w:styleId="12">
    <w:name w:val="Balloon Text"/>
    <w:basedOn w:val="1"/>
    <w:link w:val="35"/>
    <w:qFormat/>
    <w:uiPriority w:val="0"/>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9"/>
    <w:next w:val="9"/>
    <w:link w:val="37"/>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眉 字符"/>
    <w:basedOn w:val="21"/>
    <w:link w:val="14"/>
    <w:qFormat/>
    <w:uiPriority w:val="0"/>
    <w:rPr>
      <w:rFonts w:asciiTheme="minorHAnsi" w:hAnsiTheme="minorHAnsi" w:eastAsiaTheme="minorEastAsia" w:cstheme="minorBidi"/>
      <w:kern w:val="2"/>
      <w:sz w:val="18"/>
      <w:szCs w:val="18"/>
    </w:rPr>
  </w:style>
  <w:style w:type="character" w:customStyle="1" w:styleId="26">
    <w:name w:val="页脚 字符"/>
    <w:basedOn w:val="21"/>
    <w:link w:val="13"/>
    <w:qFormat/>
    <w:uiPriority w:val="99"/>
    <w:rPr>
      <w:rFonts w:asciiTheme="minorHAnsi" w:hAnsiTheme="minorHAnsi" w:eastAsiaTheme="minorEastAsia" w:cstheme="minorBidi"/>
      <w:kern w:val="2"/>
      <w:sz w:val="18"/>
      <w:szCs w:val="18"/>
    </w:rPr>
  </w:style>
  <w:style w:type="paragraph" w:styleId="27">
    <w:name w:val="List Paragraph"/>
    <w:basedOn w:val="1"/>
    <w:qFormat/>
    <w:uiPriority w:val="34"/>
    <w:pPr>
      <w:ind w:firstLine="420" w:firstLineChars="200"/>
    </w:pPr>
  </w:style>
  <w:style w:type="paragraph" w:customStyle="1" w:styleId="28">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9">
    <w:name w:val="标题 1 字符"/>
    <w:basedOn w:val="21"/>
    <w:link w:val="3"/>
    <w:qFormat/>
    <w:uiPriority w:val="0"/>
    <w:rPr>
      <w:rFonts w:asciiTheme="minorHAnsi" w:hAnsiTheme="minorHAnsi" w:eastAsiaTheme="minorEastAsia" w:cstheme="minorBidi"/>
      <w:b/>
      <w:bCs/>
      <w:kern w:val="44"/>
      <w:sz w:val="44"/>
      <w:szCs w:val="44"/>
    </w:rPr>
  </w:style>
  <w:style w:type="character" w:customStyle="1" w:styleId="30">
    <w:name w:val="标题 2 字符"/>
    <w:basedOn w:val="21"/>
    <w:link w:val="4"/>
    <w:qFormat/>
    <w:uiPriority w:val="0"/>
    <w:rPr>
      <w:rFonts w:asciiTheme="majorHAnsi" w:hAnsiTheme="majorHAnsi" w:eastAsiaTheme="majorEastAsia" w:cstheme="majorBidi"/>
      <w:b/>
      <w:bCs/>
      <w:kern w:val="2"/>
      <w:sz w:val="32"/>
      <w:szCs w:val="32"/>
    </w:rPr>
  </w:style>
  <w:style w:type="character" w:customStyle="1" w:styleId="31">
    <w:name w:val="标题 3 字符"/>
    <w:basedOn w:val="21"/>
    <w:link w:val="5"/>
    <w:qFormat/>
    <w:uiPriority w:val="0"/>
    <w:rPr>
      <w:rFonts w:asciiTheme="minorHAnsi" w:hAnsiTheme="minorHAnsi" w:eastAsiaTheme="minorEastAsia" w:cstheme="minorBidi"/>
      <w:b/>
      <w:bCs/>
      <w:kern w:val="2"/>
      <w:sz w:val="32"/>
      <w:szCs w:val="32"/>
    </w:rPr>
  </w:style>
  <w:style w:type="character" w:customStyle="1" w:styleId="32">
    <w:name w:val="标题 4 字符"/>
    <w:basedOn w:val="21"/>
    <w:link w:val="6"/>
    <w:qFormat/>
    <w:uiPriority w:val="0"/>
    <w:rPr>
      <w:rFonts w:asciiTheme="majorHAnsi" w:hAnsiTheme="majorHAnsi" w:eastAsiaTheme="majorEastAsia" w:cstheme="majorBidi"/>
      <w:b/>
      <w:bCs/>
      <w:kern w:val="2"/>
      <w:sz w:val="28"/>
      <w:szCs w:val="28"/>
    </w:rPr>
  </w:style>
  <w:style w:type="table" w:customStyle="1" w:styleId="33">
    <w:name w:val="网格表 1 浅色 - 着色 11"/>
    <w:basedOn w:val="19"/>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框文本 字符"/>
    <w:basedOn w:val="21"/>
    <w:link w:val="12"/>
    <w:qFormat/>
    <w:uiPriority w:val="0"/>
    <w:rPr>
      <w:rFonts w:asciiTheme="minorHAnsi" w:hAnsiTheme="minorHAnsi" w:eastAsiaTheme="minorEastAsia" w:cstheme="minorBidi"/>
      <w:kern w:val="2"/>
      <w:sz w:val="18"/>
      <w:szCs w:val="18"/>
    </w:rPr>
  </w:style>
  <w:style w:type="character" w:customStyle="1" w:styleId="36">
    <w:name w:val="批注文字 字符"/>
    <w:basedOn w:val="21"/>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BE2C-C626-4B1D-9D0C-7F77EAE87716}">
  <ds:schemaRefs/>
</ds:datastoreItem>
</file>

<file path=docProps/app.xml><?xml version="1.0" encoding="utf-8"?>
<Properties xmlns="http://schemas.openxmlformats.org/officeDocument/2006/extended-properties" xmlns:vt="http://schemas.openxmlformats.org/officeDocument/2006/docPropsVTypes">
  <Template>Normal</Template>
  <Pages>33</Pages>
  <Words>15129</Words>
  <Characters>15439</Characters>
  <Lines>136</Lines>
  <Paragraphs>38</Paragraphs>
  <TotalTime>2</TotalTime>
  <ScaleCrop>false</ScaleCrop>
  <LinksUpToDate>false</LinksUpToDate>
  <CharactersWithSpaces>15767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2022-08-01T09:41:00Z</dcterms:created>
  <dc:creator>★</dc:creator>
  <cp:lastModifiedBy>CJR</cp:lastModifiedBy>
  <cp:lastPrinted>2022-08-01T09:42:00Z</cp:lastPrinted>
  <dcterms:modified xsi:type="dcterms:W3CDTF">2022-11-04T06:26:02Z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3B46620807C7452DAF9E7E7297DBD593</vt:lpwstr>
  </property>
</Properties>
</file>