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b/>
          <w:sz w:val="40"/>
        </w:rPr>
      </w:pPr>
      <w:r>
        <w:rPr>
          <w:rFonts w:hint="eastAsia" w:ascii="方正小标宋简体" w:hAnsi="宋体" w:eastAsia="方正小标宋简体"/>
          <w:b/>
          <w:sz w:val="40"/>
        </w:rPr>
        <w:t>2022年</w:t>
      </w:r>
      <w:r>
        <w:rPr>
          <w:rFonts w:hint="eastAsia" w:ascii="方正小标宋简体" w:hAnsi="宋体" w:eastAsia="方正小标宋简体"/>
          <w:b/>
          <w:sz w:val="40"/>
          <w:lang w:val="en-US" w:eastAsia="zh-CN"/>
        </w:rPr>
        <w:t>大冶市市场监督管理局</w:t>
      </w:r>
      <w:r>
        <w:rPr>
          <w:rFonts w:hint="eastAsia" w:ascii="方正小标宋简体" w:hAnsi="宋体" w:eastAsia="方正小标宋简体"/>
          <w:b/>
          <w:sz w:val="40"/>
        </w:rPr>
        <w:t>人大代表建议和政协提案</w:t>
      </w:r>
    </w:p>
    <w:p>
      <w:pPr>
        <w:jc w:val="center"/>
        <w:rPr>
          <w:rFonts w:ascii="方正小标宋简体" w:hAnsi="宋体" w:eastAsia="方正小标宋简体"/>
          <w:b/>
          <w:sz w:val="40"/>
        </w:rPr>
      </w:pPr>
      <w:r>
        <w:rPr>
          <w:rFonts w:hint="eastAsia" w:ascii="方正小标宋简体" w:hAnsi="宋体" w:eastAsia="方正小标宋简体"/>
          <w:b/>
          <w:sz w:val="40"/>
        </w:rPr>
        <w:t>办理落实进展情况汇总表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089"/>
        <w:gridCol w:w="10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8" w:hRule="atLeast"/>
          <w:jc w:val="center"/>
        </w:trPr>
        <w:tc>
          <w:tcPr>
            <w:tcW w:w="969" w:type="dxa"/>
            <w:vAlign w:val="center"/>
          </w:tcPr>
          <w:p>
            <w:pPr>
              <w:spacing w:line="320" w:lineRule="exact"/>
              <w:jc w:val="center"/>
              <w:rPr>
                <w:rFonts w:ascii="楷体" w:hAnsi="楷体" w:eastAsia="楷体"/>
                <w:b/>
                <w:kern w:val="0"/>
                <w:sz w:val="24"/>
                <w:szCs w:val="24"/>
              </w:rPr>
            </w:pPr>
            <w:r>
              <w:rPr>
                <w:rFonts w:hint="eastAsia" w:ascii="楷体" w:hAnsi="楷体" w:eastAsia="楷体"/>
                <w:b/>
                <w:kern w:val="0"/>
                <w:sz w:val="24"/>
                <w:szCs w:val="24"/>
              </w:rPr>
              <w:t>序号</w:t>
            </w:r>
          </w:p>
        </w:tc>
        <w:tc>
          <w:tcPr>
            <w:tcW w:w="2089" w:type="dxa"/>
            <w:vAlign w:val="center"/>
          </w:tcPr>
          <w:p>
            <w:pPr>
              <w:spacing w:line="320" w:lineRule="exact"/>
              <w:jc w:val="center"/>
              <w:rPr>
                <w:rFonts w:ascii="楷体" w:hAnsi="楷体" w:eastAsia="楷体"/>
                <w:b/>
                <w:kern w:val="0"/>
                <w:sz w:val="24"/>
                <w:szCs w:val="24"/>
              </w:rPr>
            </w:pPr>
            <w:r>
              <w:rPr>
                <w:rFonts w:hint="eastAsia" w:ascii="楷体" w:hAnsi="楷体" w:eastAsia="楷体"/>
                <w:b/>
                <w:kern w:val="0"/>
                <w:sz w:val="24"/>
                <w:szCs w:val="24"/>
              </w:rPr>
              <w:t>建议或提案标题及编号</w:t>
            </w:r>
          </w:p>
        </w:tc>
        <w:tc>
          <w:tcPr>
            <w:tcW w:w="10761" w:type="dxa"/>
            <w:vAlign w:val="center"/>
          </w:tcPr>
          <w:p>
            <w:pPr>
              <w:spacing w:line="320" w:lineRule="exact"/>
              <w:jc w:val="center"/>
              <w:rPr>
                <w:rFonts w:ascii="楷体" w:hAnsi="楷体" w:eastAsia="楷体"/>
                <w:b/>
                <w:kern w:val="0"/>
                <w:sz w:val="24"/>
                <w:szCs w:val="24"/>
              </w:rPr>
            </w:pPr>
            <w:r>
              <w:rPr>
                <w:rFonts w:hint="eastAsia" w:ascii="楷体" w:hAnsi="楷体" w:eastAsia="楷体"/>
                <w:b/>
                <w:kern w:val="0"/>
                <w:sz w:val="24"/>
                <w:szCs w:val="24"/>
              </w:rPr>
              <w:t>办理落实进展情况（具体办理工作、内容详实）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3" w:hRule="atLeast"/>
          <w:jc w:val="center"/>
        </w:trPr>
        <w:tc>
          <w:tcPr>
            <w:tcW w:w="969" w:type="dxa"/>
            <w:vAlign w:val="center"/>
          </w:tcPr>
          <w:p>
            <w:pPr>
              <w:spacing w:line="300" w:lineRule="exact"/>
              <w:jc w:val="center"/>
              <w:rPr>
                <w:kern w:val="0"/>
                <w:sz w:val="24"/>
                <w:szCs w:val="24"/>
              </w:rPr>
            </w:pPr>
            <w:r>
              <w:rPr>
                <w:rFonts w:hint="eastAsia"/>
                <w:kern w:val="0"/>
                <w:sz w:val="24"/>
                <w:szCs w:val="24"/>
              </w:rPr>
              <w:t>1</w:t>
            </w:r>
          </w:p>
        </w:tc>
        <w:tc>
          <w:tcPr>
            <w:tcW w:w="2089" w:type="dxa"/>
            <w:vAlign w:val="center"/>
          </w:tcPr>
          <w:p>
            <w:pPr>
              <w:spacing w:line="300" w:lineRule="exact"/>
              <w:jc w:val="left"/>
              <w:rPr>
                <w:kern w:val="0"/>
                <w:sz w:val="24"/>
                <w:szCs w:val="24"/>
              </w:rPr>
            </w:pPr>
            <w:r>
              <w:rPr>
                <w:rFonts w:hint="eastAsia" w:ascii="仿宋_GB2312" w:hAnsi="宋体" w:eastAsia="仿宋_GB2312" w:cs="Times New Roman"/>
                <w:color w:val="000000"/>
                <w:sz w:val="28"/>
                <w:szCs w:val="28"/>
                <w:lang w:val="en-US" w:eastAsia="zh-CN"/>
              </w:rPr>
              <w:t>8号提案</w:t>
            </w:r>
            <w:r>
              <w:rPr>
                <w:rFonts w:hint="eastAsia" w:ascii="仿宋_GB2312" w:hAnsi="宋体" w:cs="Times New Roman"/>
                <w:color w:val="000000"/>
                <w:sz w:val="28"/>
                <w:szCs w:val="28"/>
                <w:lang w:val="en-US" w:eastAsia="zh-CN"/>
              </w:rPr>
              <w:t>，</w:t>
            </w:r>
            <w:r>
              <w:rPr>
                <w:rFonts w:hint="eastAsia" w:ascii="仿宋_GB2312" w:hAnsi="宋体" w:eastAsia="仿宋_GB2312" w:cs="Times New Roman"/>
                <w:color w:val="000000"/>
                <w:sz w:val="28"/>
                <w:szCs w:val="28"/>
                <w:lang w:val="en-US" w:eastAsia="zh-CN"/>
              </w:rPr>
              <w:t>关于加强住宅小区电梯安全规范管理的提案</w:t>
            </w:r>
          </w:p>
        </w:tc>
        <w:tc>
          <w:tcPr>
            <w:tcW w:w="1076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1.为落实企业主体责任，对全市电梯开展日常特种设备安全监管检查和专项检查，检查内容包括：电梯是否办理使用登记证，是否进行有效年度检验，是否具有特种设备安全作业人员，是否进行有效维保；并督促使用单位落实主体安全责任，进行日常隐患排查和应急救援演练。</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default"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2.为普及电梯安全知识，提升安全技能，5月12日，邀请湖北省特检院专家对我市近百余家电梯使用单位和维保单位开展了电梯安全知识培训，进一步提升了我市电梯安全运行水平，提高电梯安全管理和维护保养作业能力。</w:t>
            </w:r>
          </w:p>
          <w:p>
            <w:pPr>
              <w:spacing w:line="300" w:lineRule="exact"/>
              <w:ind w:firstLine="480" w:firstLineChars="200"/>
              <w:jc w:val="left"/>
              <w:rPr>
                <w:kern w:val="0"/>
                <w:sz w:val="24"/>
                <w:szCs w:val="24"/>
              </w:rPr>
            </w:pPr>
            <w:r>
              <w:rPr>
                <w:rFonts w:hint="eastAsia" w:ascii="仿宋_GB2312" w:hAnsi="宋体" w:eastAsia="仿宋_GB2312" w:cs="Times New Roman"/>
                <w:color w:val="000000"/>
                <w:sz w:val="24"/>
                <w:szCs w:val="24"/>
                <w:lang w:val="en-US" w:eastAsia="zh-CN"/>
              </w:rPr>
              <w:t>3.为切实提升公众的安全和文明乘梯意识，6月13日，在两湖天地小区开展了电梯困人安全应急救援演练活动，并现场向小区居民发放电梯安全使用宣传资料400余份。同时也开展了电梯安全宣讲进社区活动，在碧桂园社区开展“电梯安全减灾、防灾应急宣传教育培训”活动，这些活动的开展都向广大市民推动普及电梯安全知识，有效规避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69" w:type="dxa"/>
            <w:vAlign w:val="center"/>
          </w:tcPr>
          <w:p>
            <w:pPr>
              <w:spacing w:line="300" w:lineRule="exact"/>
              <w:jc w:val="center"/>
              <w:rPr>
                <w:kern w:val="0"/>
                <w:sz w:val="24"/>
                <w:szCs w:val="24"/>
              </w:rPr>
            </w:pPr>
            <w:r>
              <w:rPr>
                <w:rFonts w:hint="eastAsia"/>
                <w:kern w:val="0"/>
                <w:sz w:val="24"/>
                <w:szCs w:val="24"/>
              </w:rPr>
              <w:t>2</w:t>
            </w:r>
          </w:p>
        </w:tc>
        <w:tc>
          <w:tcPr>
            <w:tcW w:w="2089" w:type="dxa"/>
            <w:vAlign w:val="center"/>
          </w:tcPr>
          <w:p>
            <w:pPr>
              <w:spacing w:line="300" w:lineRule="exact"/>
              <w:jc w:val="left"/>
              <w:rPr>
                <w:kern w:val="0"/>
                <w:sz w:val="24"/>
                <w:szCs w:val="24"/>
              </w:rPr>
            </w:pPr>
            <w:r>
              <w:rPr>
                <w:rFonts w:hint="eastAsia" w:ascii="仿宋_GB2312" w:hAnsi="宋体" w:eastAsia="仿宋_GB2312" w:cs="Times New Roman"/>
                <w:color w:val="000000"/>
                <w:sz w:val="28"/>
                <w:szCs w:val="28"/>
                <w:lang w:val="en-US" w:eastAsia="zh-CN"/>
              </w:rPr>
              <w:t>81号提案，关于提升我市强检计量设备检测能力的提案</w:t>
            </w:r>
          </w:p>
        </w:tc>
        <w:tc>
          <w:tcPr>
            <w:tcW w:w="1076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1.开展广泛宣传。在今年“世界计量日”宣传活动及日常监管巡查过程中，积极向群众宣传，发放宣传资料400余份。积极开展“诚信计量自我承诺申明”宣传活动，截止至今，加油站已全部张贴“诚信计量自我承诺申明”海报。于今年5月13日，开展计量业务知识培训会。今年以来已开展3次强检计量器具监管检查专项行动</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2.开展建标申请。我局将于7月份向大冶政府提交“大冶市市场监督管理局关于拨付计量标准检定装置项目资金的请示”，申请拨付资金160万元。从源头上提升我市医疗机构检定能力，更好的维护我市人民生命健康安全。</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3.开展业务培训。大冶市计量检定测试所多次开展内部计量业务检定能力知识培训。同时，预计将于下半年送一到两名同事参加一次省里外出学习，并将学习内容及时在所内传达，从而不断提升我市整体强检计量器具检定能力，维护我市计量公平公正。</w:t>
            </w:r>
          </w:p>
          <w:p>
            <w:pPr>
              <w:spacing w:line="300" w:lineRule="exact"/>
              <w:ind w:firstLine="480" w:firstLineChars="200"/>
              <w:jc w:val="left"/>
              <w:rPr>
                <w:kern w:val="0"/>
                <w:sz w:val="24"/>
                <w:szCs w:val="24"/>
              </w:rPr>
            </w:pPr>
            <w:r>
              <w:rPr>
                <w:rFonts w:hint="eastAsia" w:ascii="仿宋_GB2312" w:hAnsi="宋体" w:eastAsia="仿宋_GB2312" w:cs="Times New Roman"/>
                <w:color w:val="000000"/>
                <w:sz w:val="24"/>
                <w:szCs w:val="24"/>
                <w:lang w:val="en-US" w:eastAsia="zh-CN"/>
              </w:rPr>
              <w:t>4.开展上门服务。积极协助自身具有大量强检计量器具的企业内部建立企业最高计量标准器，成功申请的企业只需定期将校准强检计量器具的标准器送往计量所检定合格即可。据统计，现</w:t>
            </w:r>
            <w:r>
              <w:rPr>
                <w:rFonts w:hint="eastAsia" w:ascii="仿宋_GB2312" w:hAnsi="宋体" w:eastAsia="仿宋_GB2312" w:cs="Times New Roman"/>
                <w:color w:val="000000"/>
                <w:sz w:val="24"/>
                <w:szCs w:val="24"/>
                <w:lang w:val="en-US" w:eastAsia="zh-CN"/>
              </w:rPr>
              <w:fldChar w:fldCharType="begin"/>
            </w:r>
            <w:r>
              <w:rPr>
                <w:rFonts w:hint="eastAsia" w:ascii="仿宋_GB2312" w:hAnsi="宋体" w:eastAsia="仿宋_GB2312" w:cs="Times New Roman"/>
                <w:color w:val="000000"/>
                <w:sz w:val="24"/>
                <w:szCs w:val="24"/>
                <w:lang w:val="en-US" w:eastAsia="zh-CN"/>
              </w:rPr>
              <w:instrText xml:space="preserve"> HYPERLINK "https://www.so.com/link?m=b0pY0RgvYQBNlXr2wceCVCtDyhKwY4Za3wh9aqmlFH0eWBD1q90cSFcikOI4TOsMUHimLJW/zpszvtLDBCJMgNYz5EquEcbSVxqMGVaYTSJ0VrFQDgHlhvp/Gus2GKXDFLY0WPEam4z9z+6p1qgN1W235gSV0rmsy7alRo8WFx2/F4M5m9FexmZhDrVZZzBTu9m/VEFD6ENwV5aJT9sx0WHc9mfABsWv1fqro9oAeX8ofREIJ2JK1uA==" \t "https://www.so.com/_blank" </w:instrText>
            </w:r>
            <w:r>
              <w:rPr>
                <w:rFonts w:hint="eastAsia" w:ascii="仿宋_GB2312" w:hAnsi="宋体" w:eastAsia="仿宋_GB2312" w:cs="Times New Roman"/>
                <w:color w:val="000000"/>
                <w:sz w:val="24"/>
                <w:szCs w:val="24"/>
                <w:lang w:val="en-US" w:eastAsia="zh-CN"/>
              </w:rPr>
              <w:fldChar w:fldCharType="separate"/>
            </w:r>
            <w:r>
              <w:rPr>
                <w:rFonts w:hint="eastAsia" w:ascii="仿宋_GB2312" w:hAnsi="宋体" w:eastAsia="仿宋_GB2312" w:cs="Times New Roman"/>
                <w:color w:val="000000"/>
                <w:sz w:val="24"/>
                <w:szCs w:val="24"/>
                <w:lang w:val="en-US" w:eastAsia="zh-CN"/>
              </w:rPr>
              <w:t>湖北迪峰科技集团有限公司</w:t>
            </w:r>
            <w:r>
              <w:rPr>
                <w:rFonts w:hint="eastAsia" w:ascii="仿宋_GB2312" w:hAnsi="宋体" w:eastAsia="仿宋_GB2312" w:cs="Times New Roman"/>
                <w:color w:val="000000"/>
                <w:sz w:val="24"/>
                <w:szCs w:val="24"/>
                <w:lang w:val="en-US" w:eastAsia="zh-CN"/>
              </w:rPr>
              <w:fldChar w:fldCharType="end"/>
            </w:r>
            <w:r>
              <w:rPr>
                <w:rFonts w:hint="eastAsia" w:ascii="仿宋_GB2312" w:hAnsi="宋体" w:eastAsia="仿宋_GB2312" w:cs="Times New Roman"/>
                <w:color w:val="000000"/>
                <w:sz w:val="24"/>
                <w:szCs w:val="24"/>
                <w:lang w:val="en-US" w:eastAsia="zh-CN"/>
              </w:rPr>
              <w:t>建有企业最高计量标准器4项，大冶劲牌有限公司建有企业最高计量标准器2项。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69" w:type="dxa"/>
            <w:vAlign w:val="center"/>
          </w:tcPr>
          <w:p>
            <w:pPr>
              <w:spacing w:line="300" w:lineRule="exact"/>
              <w:jc w:val="center"/>
              <w:rPr>
                <w:kern w:val="0"/>
                <w:sz w:val="24"/>
                <w:szCs w:val="24"/>
              </w:rPr>
            </w:pPr>
            <w:r>
              <w:rPr>
                <w:rFonts w:hint="eastAsia"/>
                <w:kern w:val="0"/>
                <w:sz w:val="24"/>
                <w:szCs w:val="24"/>
              </w:rPr>
              <w:t>3</w:t>
            </w:r>
          </w:p>
        </w:tc>
        <w:tc>
          <w:tcPr>
            <w:tcW w:w="2089" w:type="dxa"/>
            <w:vAlign w:val="center"/>
          </w:tcPr>
          <w:p>
            <w:pPr>
              <w:spacing w:line="300" w:lineRule="exact"/>
              <w:jc w:val="left"/>
              <w:rPr>
                <w:kern w:val="0"/>
                <w:sz w:val="24"/>
                <w:szCs w:val="24"/>
              </w:rPr>
            </w:pPr>
            <w:r>
              <w:rPr>
                <w:rFonts w:hint="eastAsia" w:ascii="仿宋_GB2312" w:hAnsi="宋体" w:eastAsia="仿宋_GB2312" w:cs="Times New Roman"/>
                <w:color w:val="000000"/>
                <w:sz w:val="28"/>
                <w:szCs w:val="28"/>
                <w:lang w:val="en-US" w:eastAsia="zh-CN"/>
              </w:rPr>
              <w:t>102号提案</w:t>
            </w:r>
            <w:r>
              <w:rPr>
                <w:rFonts w:hint="eastAsia" w:ascii="仿宋_GB2312" w:hAnsi="宋体" w:cs="Times New Roman"/>
                <w:color w:val="000000"/>
                <w:sz w:val="28"/>
                <w:szCs w:val="28"/>
                <w:lang w:val="en-US" w:eastAsia="zh-CN"/>
              </w:rPr>
              <w:t>，</w:t>
            </w:r>
            <w:r>
              <w:rPr>
                <w:rFonts w:hint="eastAsia" w:ascii="仿宋_GB2312" w:hAnsi="宋体" w:eastAsia="仿宋_GB2312" w:cs="Times New Roman"/>
                <w:color w:val="000000"/>
                <w:sz w:val="28"/>
                <w:szCs w:val="28"/>
                <w:lang w:val="en-US" w:eastAsia="zh-CN"/>
              </w:rPr>
              <w:t>关于倡导家庭过期药品环保处置的提案</w:t>
            </w:r>
          </w:p>
        </w:tc>
        <w:tc>
          <w:tcPr>
            <w:tcW w:w="1076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cs="Times New Roman"/>
                <w:color w:val="000000"/>
                <w:sz w:val="24"/>
                <w:szCs w:val="24"/>
                <w:lang w:val="en-US" w:eastAsia="zh-CN"/>
              </w:rPr>
              <w:t>1.</w:t>
            </w:r>
            <w:r>
              <w:rPr>
                <w:rFonts w:hint="eastAsia" w:ascii="仿宋_GB2312" w:hAnsi="宋体" w:eastAsia="仿宋_GB2312" w:cs="Times New Roman"/>
                <w:color w:val="000000"/>
                <w:sz w:val="24"/>
                <w:szCs w:val="24"/>
                <w:lang w:val="en-US" w:eastAsia="zh-CN"/>
              </w:rPr>
              <w:t>今年以来我局狠抓不良反应监测工作，全年不良反应应完成药品不良反应700例，医疗器械不良反应180例，化妆品不良反应40例。上半年已完成药品不良反应上报234例，医疗器械上报54例，化妆品上报17例。</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cs="Times New Roman"/>
                <w:color w:val="000000"/>
                <w:sz w:val="24"/>
                <w:szCs w:val="24"/>
                <w:lang w:val="en-US" w:eastAsia="zh-CN"/>
              </w:rPr>
              <w:t>2.</w:t>
            </w:r>
            <w:r>
              <w:rPr>
                <w:rFonts w:hint="eastAsia" w:ascii="仿宋_GB2312" w:hAnsi="宋体" w:eastAsia="仿宋_GB2312" w:cs="Times New Roman"/>
                <w:color w:val="000000"/>
                <w:sz w:val="24"/>
                <w:szCs w:val="24"/>
                <w:lang w:val="en-US" w:eastAsia="zh-CN"/>
              </w:rPr>
              <w:t>从严从实，严抓疫情防控措施落实今年以来，我市药店“四类药”系统上线率100%，截至目前，共监测“四类药”实名销售数据398900条，特殊人群信息44条。在全市范围内开展流通领域暗访检查，检查药店56家。</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default" w:ascii="仿宋_GB2312" w:hAnsi="宋体" w:eastAsia="仿宋_GB2312" w:cs="Times New Roman"/>
                <w:color w:val="000000"/>
                <w:sz w:val="24"/>
                <w:szCs w:val="24"/>
                <w:lang w:val="en-US" w:eastAsia="zh-CN"/>
              </w:rPr>
            </w:pPr>
            <w:r>
              <w:rPr>
                <w:rFonts w:hint="eastAsia" w:ascii="仿宋_GB2312" w:hAnsi="宋体" w:cs="Times New Roman"/>
                <w:color w:val="000000"/>
                <w:sz w:val="24"/>
                <w:szCs w:val="24"/>
                <w:lang w:val="en-US" w:eastAsia="zh-CN"/>
              </w:rPr>
              <w:t>3.</w:t>
            </w:r>
            <w:r>
              <w:rPr>
                <w:rFonts w:hint="eastAsia" w:ascii="仿宋_GB2312" w:hAnsi="宋体" w:eastAsia="仿宋_GB2312" w:cs="Times New Roman"/>
                <w:color w:val="000000"/>
                <w:sz w:val="24"/>
                <w:szCs w:val="24"/>
                <w:lang w:val="en-US" w:eastAsia="zh-CN"/>
              </w:rPr>
              <w:t>通过集中培训、网络学习及自学相结合的方式，组织人员学法律法规、学习业务知识并认真做好学习笔记，有效提高法律法规知识水平和行政执法能力。上半年，组织开展系统内外业务知识培训3次，参加业务知识培训3次。</w:t>
            </w:r>
          </w:p>
          <w:p>
            <w:pPr>
              <w:spacing w:line="3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69" w:type="dxa"/>
            <w:vAlign w:val="center"/>
          </w:tcPr>
          <w:p>
            <w:pPr>
              <w:spacing w:line="300" w:lineRule="exact"/>
              <w:jc w:val="center"/>
              <w:rPr>
                <w:kern w:val="0"/>
                <w:sz w:val="24"/>
                <w:szCs w:val="24"/>
              </w:rPr>
            </w:pPr>
            <w:r>
              <w:rPr>
                <w:rFonts w:hint="eastAsia"/>
                <w:kern w:val="0"/>
                <w:sz w:val="24"/>
                <w:szCs w:val="24"/>
              </w:rPr>
              <w:t>4</w:t>
            </w:r>
          </w:p>
        </w:tc>
        <w:tc>
          <w:tcPr>
            <w:tcW w:w="2089" w:type="dxa"/>
            <w:vAlign w:val="center"/>
          </w:tcPr>
          <w:p>
            <w:pPr>
              <w:spacing w:line="300" w:lineRule="exact"/>
              <w:jc w:val="left"/>
              <w:rPr>
                <w:kern w:val="0"/>
                <w:sz w:val="24"/>
                <w:szCs w:val="24"/>
              </w:rPr>
            </w:pPr>
            <w:r>
              <w:rPr>
                <w:rFonts w:hint="eastAsia" w:ascii="仿宋_GB2312" w:hAnsi="宋体" w:eastAsia="仿宋_GB2312" w:cs="Times New Roman"/>
                <w:color w:val="000000"/>
                <w:sz w:val="28"/>
                <w:szCs w:val="28"/>
                <w:lang w:val="en-US" w:eastAsia="zh-CN"/>
              </w:rPr>
              <w:t>111号提案</w:t>
            </w:r>
            <w:r>
              <w:rPr>
                <w:rFonts w:hint="eastAsia" w:ascii="仿宋_GB2312" w:hAnsi="宋体" w:cs="Times New Roman"/>
                <w:color w:val="000000"/>
                <w:sz w:val="28"/>
                <w:szCs w:val="28"/>
                <w:lang w:val="en-US" w:eastAsia="zh-CN"/>
              </w:rPr>
              <w:t>，</w:t>
            </w:r>
            <w:r>
              <w:rPr>
                <w:rFonts w:hint="eastAsia" w:ascii="仿宋_GB2312" w:hAnsi="宋体" w:eastAsia="仿宋_GB2312" w:cs="Times New Roman"/>
                <w:color w:val="000000"/>
                <w:sz w:val="28"/>
                <w:szCs w:val="28"/>
                <w:lang w:val="en-US" w:eastAsia="zh-CN"/>
              </w:rPr>
              <w:t>关于加强我市早点、小吃等摊位卫生管理的提案</w:t>
            </w:r>
          </w:p>
        </w:tc>
        <w:tc>
          <w:tcPr>
            <w:tcW w:w="10761" w:type="dxa"/>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1.今年我局组织开展了“守底线、查隐患、保安全”专项行动、农村食品质量安全专项行动等食品安全专项检查，共出动检查人员1850人次，检查饮食摊点536家，下发责令改正通知书218份。</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eastAsia"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2.我局对辖区内饮食摊点数量及分布状况进行摸排。对有固定门店、具有基本经营条件，改造后能达到小餐饮许可条件的，要求其限期整改，整改合格后申办《小餐饮经营许可证》；对不具备许可条件的，以书面告知或签订食品安全承诺书（责任书）的形式，告知业主应注意的事项和承担的责任，今年以来，我局共办理了《小餐饮经营许可证》351个。</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Fonts w:hint="default" w:ascii="仿宋_GB2312" w:hAnsi="宋体" w:eastAsia="仿宋_GB2312" w:cs="Times New Roman"/>
                <w:color w:val="000000"/>
                <w:sz w:val="24"/>
                <w:szCs w:val="24"/>
                <w:lang w:val="en-US" w:eastAsia="zh-CN"/>
              </w:rPr>
            </w:pPr>
            <w:r>
              <w:rPr>
                <w:rFonts w:hint="eastAsia" w:ascii="仿宋_GB2312" w:hAnsi="宋体" w:eastAsia="仿宋_GB2312" w:cs="Times New Roman"/>
                <w:color w:val="000000"/>
                <w:sz w:val="24"/>
                <w:szCs w:val="24"/>
                <w:lang w:val="en-US" w:eastAsia="zh-CN"/>
              </w:rPr>
              <w:t>3.我局积极采取集中授课、上门培训、重点约谈等措施，加大对饮食摊点从业人员《食品安全法》、《湖北省食品安全条例》和《餐饮服务食品安全操作规范》等相关法律法规的培训，强化业主为第一责任人的意识，增强业主的自律意识，并与业主签订《餐饮服务单位食品安全承诺书》，全面落实食品安全主体责任。今年来，我局各基层所共组织各类食品安全培训活动15场次。大大提高了从业人员的食品安全意识。</w:t>
            </w:r>
          </w:p>
          <w:p>
            <w:pPr>
              <w:spacing w:line="30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69" w:type="dxa"/>
            <w:vAlign w:val="center"/>
          </w:tcPr>
          <w:p>
            <w:pPr>
              <w:spacing w:line="300" w:lineRule="exact"/>
              <w:jc w:val="center"/>
              <w:rPr>
                <w:kern w:val="0"/>
                <w:sz w:val="24"/>
                <w:szCs w:val="24"/>
              </w:rPr>
            </w:pPr>
          </w:p>
        </w:tc>
        <w:tc>
          <w:tcPr>
            <w:tcW w:w="2089" w:type="dxa"/>
            <w:vAlign w:val="center"/>
          </w:tcPr>
          <w:p>
            <w:pPr>
              <w:spacing w:line="300" w:lineRule="exact"/>
              <w:jc w:val="center"/>
              <w:rPr>
                <w:kern w:val="0"/>
                <w:sz w:val="24"/>
                <w:szCs w:val="24"/>
              </w:rPr>
            </w:pPr>
          </w:p>
        </w:tc>
        <w:tc>
          <w:tcPr>
            <w:tcW w:w="10761" w:type="dxa"/>
            <w:vAlign w:val="center"/>
          </w:tcPr>
          <w:p>
            <w:pPr>
              <w:spacing w:line="300" w:lineRule="exact"/>
              <w:jc w:val="center"/>
              <w:rPr>
                <w:rFonts w:hint="default" w:eastAsia="仿宋_GB2312"/>
                <w:kern w:val="0"/>
                <w:sz w:val="24"/>
                <w:szCs w:val="24"/>
                <w:lang w:val="en-US" w:eastAsia="zh-CN"/>
              </w:rPr>
            </w:pPr>
            <w:r>
              <w:rPr>
                <w:rFonts w:hint="eastAsia"/>
                <w:kern w:val="0"/>
                <w:sz w:val="24"/>
                <w:szCs w:val="24"/>
                <w:lang w:val="en-US" w:eastAsia="zh-CN"/>
              </w:rPr>
              <w:t>以上建议提案均已办结</w:t>
            </w:r>
            <w:bookmarkStart w:id="0" w:name="_GoBack"/>
            <w:bookmarkEnd w:id="0"/>
          </w:p>
        </w:tc>
      </w:tr>
    </w:tbl>
    <w:p>
      <w:pPr>
        <w:spacing w:line="360" w:lineRule="exact"/>
        <w:rPr>
          <w:rFonts w:eastAsia="仿宋"/>
          <w:b/>
          <w:color w:val="FF0000"/>
        </w:rPr>
      </w:pPr>
    </w:p>
    <w:sectPr>
      <w:footerReference r:id="rId3" w:type="default"/>
      <w:footerReference r:id="rId4" w:type="even"/>
      <w:pgSz w:w="16838" w:h="11906" w:orient="landscape"/>
      <w:pgMar w:top="1701" w:right="1588" w:bottom="1588" w:left="1588" w:header="0" w:footer="113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0MDA2YmY0ZWUwNjk2ODUxNjhiMTdkNGVkZjg2N2IifQ=="/>
  </w:docVars>
  <w:rsids>
    <w:rsidRoot w:val="3E027C86"/>
    <w:rsid w:val="000B4D5C"/>
    <w:rsid w:val="006630A0"/>
    <w:rsid w:val="05B27C28"/>
    <w:rsid w:val="277976C4"/>
    <w:rsid w:val="3A1A39E4"/>
    <w:rsid w:val="3E027C86"/>
    <w:rsid w:val="58131EAA"/>
    <w:rsid w:val="58A94C89"/>
    <w:rsid w:val="625F66D9"/>
    <w:rsid w:val="7585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rPr>
      <w:rFonts w:ascii="Calibri" w:hAnsi="Calibri" w:eastAsia="宋体"/>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1725</Words>
  <Characters>1784</Characters>
  <Lines>1</Lines>
  <Paragraphs>1</Paragraphs>
  <TotalTime>3</TotalTime>
  <ScaleCrop>false</ScaleCrop>
  <LinksUpToDate>false</LinksUpToDate>
  <CharactersWithSpaces>1784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2021-08-05T02:08:00Z</dcterms:created>
  <dc:creator>剪水花</dc:creator>
  <cp:lastModifiedBy>remember</cp:lastModifiedBy>
  <dcterms:modified xsi:type="dcterms:W3CDTF">2022-11-04T01:00:24Z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895016E103F64313BD474936C1DD4075</vt:lpwstr>
  </property>
</Properties>
</file>