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年度）</w:t>
      </w:r>
    </w:p>
    <w:p>
      <w:pPr>
        <w:widowControl/>
        <w:ind w:firstLine="320" w:firstLineChars="100"/>
        <w:jc w:val="left"/>
        <w:rPr>
          <w:rFonts w:ascii="宋体" w:hAnsi="宋体" w:cs="宋体"/>
          <w:color w:val="000000"/>
          <w:kern w:val="0"/>
          <w:sz w:val="32"/>
          <w:szCs w:val="32"/>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2021年</w:t>
      </w:r>
      <w:bookmarkStart w:id="0" w:name="_GoBack"/>
      <w:r>
        <w:rPr>
          <w:rFonts w:hint="eastAsia" w:ascii="宋体" w:hAnsi="宋体" w:cs="宋体"/>
          <w:color w:val="000000"/>
          <w:kern w:val="0"/>
          <w:sz w:val="32"/>
          <w:szCs w:val="32"/>
          <w:u w:val="single"/>
          <w:lang w:val="en-US" w:eastAsia="zh-CN"/>
        </w:rPr>
        <w:t>其他科学技术管理支出</w:t>
      </w:r>
      <w:bookmarkEnd w:id="0"/>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大冶市市场监督管理局</w:t>
      </w:r>
      <w:r>
        <w:rPr>
          <w:rFonts w:hint="eastAsia" w:ascii="宋体" w:hAnsi="宋体" w:cs="宋体"/>
          <w:color w:val="000000"/>
          <w:kern w:val="0"/>
          <w:sz w:val="32"/>
          <w:szCs w:val="32"/>
          <w:u w:val="single"/>
        </w:rPr>
        <w:t xml:space="preserve">                                   </w:t>
      </w:r>
    </w:p>
    <w:p>
      <w:pPr>
        <w:widowControl/>
        <w:jc w:val="left"/>
        <w:rPr>
          <w:rFonts w:hint="eastAsia"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大冶市人民政府</w:t>
      </w:r>
      <w:r>
        <w:rPr>
          <w:rFonts w:hint="eastAsia" w:ascii="宋体" w:hAnsi="宋体" w:cs="宋体"/>
          <w:color w:val="000000"/>
          <w:kern w:val="0"/>
          <w:sz w:val="32"/>
          <w:szCs w:val="32"/>
          <w:u w:val="single"/>
        </w:rPr>
        <w:t xml:space="preserve">                                  </w:t>
      </w:r>
    </w:p>
    <w:p>
      <w:pPr>
        <w:widowControl/>
        <w:jc w:val="left"/>
        <w:rPr>
          <w:rFonts w:hint="eastAsia"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hint="eastAsia" w:ascii="宋体" w:hAnsi="宋体" w:cs="宋体"/>
          <w:color w:val="000000"/>
          <w:kern w:val="0"/>
          <w:sz w:val="32"/>
          <w:szCs w:val="32"/>
        </w:rPr>
      </w:pPr>
    </w:p>
    <w:p>
      <w:pPr>
        <w:widowControl/>
        <w:jc w:val="left"/>
        <w:rPr>
          <w:rFonts w:hint="eastAsia"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2022</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7</w:t>
      </w:r>
      <w:r>
        <w:rPr>
          <w:rFonts w:hint="eastAsia" w:ascii="宋体" w:hAnsi="宋体" w:cs="宋体"/>
          <w:color w:val="000000"/>
          <w:kern w:val="0"/>
          <w:sz w:val="32"/>
          <w:szCs w:val="32"/>
        </w:rPr>
        <w:t>月</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Pr>
        <w:rPr>
          <w:rFonts w:hint="eastAsia"/>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rPr>
          <w:rFonts w:hint="eastAsia"/>
        </w:rPr>
      </w:pPr>
      <w:r>
        <w:rPr>
          <w:rFonts w:hint="eastAsia" w:ascii="宋体" w:hAnsi="宋体" w:cs="宋体"/>
          <w:color w:val="000000"/>
          <w:kern w:val="0"/>
          <w:sz w:val="20"/>
          <w:szCs w:val="20"/>
        </w:rPr>
        <w:t xml:space="preserve">       单位：万元</w:t>
      </w:r>
    </w:p>
    <w:tbl>
      <w:tblPr>
        <w:tblStyle w:val="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67"/>
        <w:gridCol w:w="598"/>
        <w:gridCol w:w="503"/>
        <w:gridCol w:w="558"/>
        <w:gridCol w:w="184"/>
        <w:gridCol w:w="1671"/>
        <w:gridCol w:w="54"/>
        <w:gridCol w:w="318"/>
        <w:gridCol w:w="733"/>
        <w:gridCol w:w="200"/>
        <w:gridCol w:w="845"/>
        <w:gridCol w:w="263"/>
        <w:gridCol w:w="186"/>
        <w:gridCol w:w="54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柯惠华</w:t>
            </w:r>
          </w:p>
        </w:tc>
        <w:tc>
          <w:tcPr>
            <w:tcW w:w="742"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0714-8762233</w:t>
            </w:r>
          </w:p>
        </w:tc>
        <w:tc>
          <w:tcPr>
            <w:tcW w:w="1305" w:type="dxa"/>
            <w:gridSpan w:val="4"/>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李家华</w:t>
            </w:r>
          </w:p>
        </w:tc>
        <w:tc>
          <w:tcPr>
            <w:tcW w:w="735"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0714-8712248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7"/>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w:t>
            </w:r>
            <w:r>
              <w:rPr>
                <w:rFonts w:hint="eastAsia" w:ascii="宋体" w:hAnsi="宋体" w:cs="宋体"/>
                <w:color w:val="000000"/>
                <w:kern w:val="0"/>
                <w:sz w:val="20"/>
                <w:szCs w:val="20"/>
                <w:lang w:eastAsia="zh-CN"/>
              </w:rPr>
              <w:t>总部经济发展中心一区</w:t>
            </w:r>
          </w:p>
        </w:tc>
        <w:tc>
          <w:tcPr>
            <w:tcW w:w="1051"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 xml:space="preserve">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5"/>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2020年-2021年2月</w:t>
            </w:r>
          </w:p>
        </w:tc>
        <w:tc>
          <w:tcPr>
            <w:tcW w:w="209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2021年1月-2021年7月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noWrap w:val="0"/>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4"/>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4"/>
            <w:noWrap w:val="0"/>
            <w:vAlign w:val="center"/>
          </w:tcPr>
          <w:p>
            <w:pPr>
              <w:widowControl/>
              <w:jc w:val="center"/>
              <w:rPr>
                <w:rFonts w:ascii="宋体" w:hAnsi="宋体" w:cs="宋体"/>
                <w:color w:val="000000"/>
                <w:kern w:val="0"/>
                <w:sz w:val="20"/>
                <w:szCs w:val="20"/>
              </w:rPr>
            </w:pPr>
          </w:p>
        </w:tc>
        <w:tc>
          <w:tcPr>
            <w:tcW w:w="2227" w:type="dxa"/>
            <w:gridSpan w:val="5"/>
            <w:noWrap w:val="0"/>
            <w:vAlign w:val="center"/>
          </w:tcPr>
          <w:p>
            <w:pPr>
              <w:widowControl/>
              <w:jc w:val="center"/>
              <w:rPr>
                <w:rFonts w:ascii="宋体" w:hAnsi="宋体" w:cs="宋体"/>
                <w:color w:val="000000"/>
                <w:kern w:val="0"/>
                <w:sz w:val="20"/>
                <w:szCs w:val="20"/>
              </w:rPr>
            </w:pPr>
          </w:p>
        </w:tc>
        <w:tc>
          <w:tcPr>
            <w:tcW w:w="2227"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4"/>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2227" w:type="dxa"/>
            <w:gridSpan w:val="5"/>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w:t>
            </w:r>
          </w:p>
        </w:tc>
        <w:tc>
          <w:tcPr>
            <w:tcW w:w="2227"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4"/>
            <w:noWrap w:val="0"/>
            <w:vAlign w:val="center"/>
          </w:tcPr>
          <w:p>
            <w:pPr>
              <w:widowControl/>
              <w:jc w:val="center"/>
              <w:rPr>
                <w:rFonts w:ascii="宋体" w:hAnsi="宋体" w:cs="宋体"/>
                <w:color w:val="000000"/>
                <w:kern w:val="0"/>
                <w:sz w:val="20"/>
                <w:szCs w:val="20"/>
              </w:rPr>
            </w:pPr>
          </w:p>
        </w:tc>
        <w:tc>
          <w:tcPr>
            <w:tcW w:w="2227" w:type="dxa"/>
            <w:gridSpan w:val="5"/>
            <w:noWrap w:val="0"/>
            <w:vAlign w:val="center"/>
          </w:tcPr>
          <w:p>
            <w:pPr>
              <w:widowControl/>
              <w:jc w:val="center"/>
              <w:rPr>
                <w:rFonts w:ascii="宋体" w:hAnsi="宋体" w:cs="宋体"/>
                <w:color w:val="000000"/>
                <w:kern w:val="0"/>
                <w:sz w:val="20"/>
                <w:szCs w:val="20"/>
              </w:rPr>
            </w:pPr>
          </w:p>
        </w:tc>
        <w:tc>
          <w:tcPr>
            <w:tcW w:w="2227"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4"/>
            <w:noWrap w:val="0"/>
            <w:vAlign w:val="center"/>
          </w:tcPr>
          <w:p>
            <w:pPr>
              <w:widowControl/>
              <w:jc w:val="center"/>
              <w:rPr>
                <w:rFonts w:ascii="宋体" w:hAnsi="宋体" w:cs="宋体"/>
                <w:color w:val="000000"/>
                <w:kern w:val="0"/>
                <w:sz w:val="20"/>
                <w:szCs w:val="20"/>
              </w:rPr>
            </w:pPr>
          </w:p>
        </w:tc>
        <w:tc>
          <w:tcPr>
            <w:tcW w:w="2227" w:type="dxa"/>
            <w:gridSpan w:val="5"/>
            <w:noWrap w:val="0"/>
            <w:vAlign w:val="center"/>
          </w:tcPr>
          <w:p>
            <w:pPr>
              <w:widowControl/>
              <w:jc w:val="center"/>
              <w:rPr>
                <w:rFonts w:ascii="宋体" w:hAnsi="宋体" w:cs="宋体"/>
                <w:color w:val="000000"/>
                <w:kern w:val="0"/>
                <w:sz w:val="20"/>
                <w:szCs w:val="20"/>
              </w:rPr>
            </w:pPr>
          </w:p>
        </w:tc>
        <w:tc>
          <w:tcPr>
            <w:tcW w:w="2227"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4"/>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2227" w:type="dxa"/>
            <w:gridSpan w:val="5"/>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w:t>
            </w:r>
          </w:p>
        </w:tc>
        <w:tc>
          <w:tcPr>
            <w:tcW w:w="2227"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2" w:hRule="atLeast"/>
          <w:jc w:val="center"/>
        </w:trPr>
        <w:tc>
          <w:tcPr>
            <w:tcW w:w="745"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5"/>
            <w:noWrap w:val="0"/>
            <w:vAlign w:val="center"/>
          </w:tcPr>
          <w:p>
            <w:pPr>
              <w:widowControl/>
              <w:rPr>
                <w:rFonts w:ascii="宋体" w:hAnsi="宋体" w:cs="宋体"/>
                <w:color w:val="000000"/>
                <w:kern w:val="0"/>
                <w:sz w:val="20"/>
                <w:szCs w:val="20"/>
              </w:rPr>
            </w:pP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根据《市政府关于强化科技创新支撑引领大冶高质量发展的实施意见》（大冶政规〔2019〕2号）</w:t>
            </w:r>
            <w:r>
              <w:rPr>
                <w:rFonts w:hint="eastAsia" w:ascii="宋体" w:hAnsi="宋体" w:cs="宋体"/>
                <w:color w:val="000000"/>
                <w:kern w:val="0"/>
                <w:sz w:val="20"/>
                <w:szCs w:val="20"/>
                <w:lang w:eastAsia="zh-CN"/>
              </w:rPr>
              <w:t>、《大冶市关于强服务、解难题、稳增长、促发展的若干政策措施》（冶办发〔2020〕6号）</w:t>
            </w:r>
            <w:r>
              <w:rPr>
                <w:rFonts w:hint="eastAsia" w:ascii="宋体" w:hAnsi="宋体" w:cs="宋体"/>
                <w:color w:val="000000"/>
                <w:kern w:val="0"/>
                <w:sz w:val="20"/>
                <w:szCs w:val="20"/>
              </w:rPr>
              <w:t>文件内容，该项目资金用于：</w:t>
            </w:r>
            <w:r>
              <w:rPr>
                <w:rFonts w:hint="eastAsia" w:ascii="宋体" w:hAnsi="宋体" w:cs="宋体"/>
                <w:color w:val="000000"/>
                <w:kern w:val="0"/>
                <w:sz w:val="20"/>
                <w:szCs w:val="20"/>
                <w:lang w:val="en-US" w:eastAsia="zh-CN"/>
              </w:rPr>
              <w:t>知识产权贯标资助、发明专利扫零资助、知识产权质押融资贴息、有效发明专利维持费和知识产权评估费用资助</w:t>
            </w:r>
            <w:r>
              <w:rPr>
                <w:rFonts w:hint="eastAsia" w:ascii="宋体" w:hAnsi="宋体" w:cs="宋体"/>
                <w:color w:val="000000"/>
                <w:kern w:val="0"/>
                <w:sz w:val="20"/>
                <w:szCs w:val="20"/>
              </w:rPr>
              <w:t>等工作。</w:t>
            </w:r>
            <w:r>
              <w:rPr>
                <w:rFonts w:hint="eastAsia" w:ascii="宋体" w:hAnsi="宋体" w:cs="宋体"/>
                <w:color w:val="000000"/>
                <w:kern w:val="0"/>
                <w:sz w:val="20"/>
                <w:szCs w:val="20"/>
                <w:lang w:val="en-US" w:eastAsia="zh-CN"/>
              </w:rPr>
              <w:t>2021年预算安排2020年知识产权奖补294万元，另经市政府同意安排2020年知识产权维护和评估费用资助（抗疫资金）8万元，两项共计302</w:t>
            </w:r>
            <w:r>
              <w:rPr>
                <w:rFonts w:hint="eastAsia" w:ascii="宋体" w:hAnsi="宋体" w:cs="宋体"/>
                <w:color w:val="000000"/>
                <w:kern w:val="0"/>
                <w:sz w:val="20"/>
                <w:szCs w:val="20"/>
              </w:rPr>
              <w:t>万元，</w:t>
            </w:r>
            <w:r>
              <w:rPr>
                <w:rFonts w:hint="eastAsia" w:ascii="宋体" w:hAnsi="宋体" w:cs="宋体"/>
                <w:color w:val="000000"/>
                <w:kern w:val="0"/>
                <w:sz w:val="20"/>
                <w:szCs w:val="20"/>
                <w:lang w:val="en-US" w:eastAsia="zh-CN"/>
              </w:rPr>
              <w:t>已使用238万元，分别用于</w:t>
            </w:r>
            <w:r>
              <w:rPr>
                <w:rFonts w:hint="eastAsia" w:ascii="宋体" w:hAnsi="宋体" w:cs="宋体"/>
                <w:color w:val="000000"/>
                <w:kern w:val="0"/>
                <w:sz w:val="20"/>
                <w:szCs w:val="20"/>
              </w:rPr>
              <w:t>知识产权贯标</w:t>
            </w:r>
            <w:r>
              <w:rPr>
                <w:rFonts w:hint="eastAsia" w:ascii="宋体" w:hAnsi="宋体" w:cs="宋体"/>
                <w:color w:val="000000"/>
                <w:kern w:val="0"/>
                <w:sz w:val="20"/>
                <w:szCs w:val="20"/>
                <w:lang w:val="en-US" w:eastAsia="zh-CN"/>
              </w:rPr>
              <w:t>企业资助230</w:t>
            </w:r>
            <w:r>
              <w:rPr>
                <w:rFonts w:hint="eastAsia" w:ascii="宋体" w:hAnsi="宋体" w:cs="宋体"/>
                <w:color w:val="000000"/>
                <w:kern w:val="0"/>
                <w:sz w:val="20"/>
                <w:szCs w:val="20"/>
              </w:rPr>
              <w:t xml:space="preserve"> 万元</w:t>
            </w:r>
            <w:r>
              <w:rPr>
                <w:rFonts w:hint="eastAsia" w:ascii="宋体" w:hAnsi="宋体" w:cs="宋体"/>
                <w:color w:val="000000"/>
                <w:kern w:val="0"/>
                <w:sz w:val="20"/>
                <w:szCs w:val="20"/>
                <w:lang w:eastAsia="zh-CN"/>
              </w:rPr>
              <w:t>，有效发明专利维持费资助</w:t>
            </w:r>
            <w:r>
              <w:rPr>
                <w:rFonts w:hint="eastAsia" w:ascii="宋体" w:hAnsi="宋体" w:cs="宋体"/>
                <w:color w:val="000000"/>
                <w:kern w:val="0"/>
                <w:sz w:val="20"/>
                <w:szCs w:val="20"/>
                <w:lang w:val="en-US" w:eastAsia="zh-CN"/>
              </w:rPr>
              <w:t>6.06万元，知识产权评估费补贴1.94万元</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7"/>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noWrap w:val="0"/>
            <w:vAlign w:val="center"/>
          </w:tcPr>
          <w:p>
            <w:pPr>
              <w:widowControl/>
              <w:jc w:val="center"/>
              <w:rPr>
                <w:rFonts w:ascii="宋体" w:hAnsi="宋体" w:cs="宋体"/>
                <w:color w:val="000000"/>
                <w:kern w:val="0"/>
                <w:sz w:val="20"/>
                <w:szCs w:val="20"/>
              </w:rPr>
            </w:pPr>
          </w:p>
        </w:tc>
        <w:tc>
          <w:tcPr>
            <w:tcW w:w="4135" w:type="dxa"/>
            <w:gridSpan w:val="7"/>
            <w:noWrap w:val="0"/>
            <w:vAlign w:val="center"/>
          </w:tcPr>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通过奖补政策引领，激发创新</w:t>
            </w:r>
            <w:r>
              <w:rPr>
                <w:rFonts w:hint="eastAsia" w:ascii="宋体" w:hAnsi="宋体" w:cs="宋体"/>
                <w:color w:val="000000"/>
                <w:kern w:val="0"/>
                <w:sz w:val="20"/>
                <w:szCs w:val="20"/>
                <w:lang w:val="en-US" w:eastAsia="zh-CN"/>
              </w:rPr>
              <w:t>创造</w:t>
            </w:r>
            <w:r>
              <w:rPr>
                <w:rFonts w:hint="eastAsia" w:ascii="宋体" w:hAnsi="宋体" w:cs="宋体"/>
                <w:color w:val="000000"/>
                <w:kern w:val="0"/>
                <w:sz w:val="20"/>
                <w:szCs w:val="20"/>
              </w:rPr>
              <w:t>活力</w:t>
            </w:r>
            <w:r>
              <w:rPr>
                <w:rFonts w:hint="eastAsia" w:ascii="宋体" w:hAnsi="宋体" w:cs="宋体"/>
                <w:color w:val="000000"/>
                <w:kern w:val="0"/>
                <w:sz w:val="20"/>
                <w:szCs w:val="20"/>
                <w:lang w:eastAsia="zh-CN"/>
              </w:rPr>
              <w:t>，提高全市有效发明专利拥有量，促进科技型企业用活无形资产，缓解融资难、贵难题，并支持</w:t>
            </w:r>
            <w:r>
              <w:rPr>
                <w:rFonts w:hint="eastAsia" w:ascii="宋体" w:hAnsi="宋体" w:cs="宋体"/>
                <w:color w:val="000000"/>
                <w:kern w:val="0"/>
                <w:sz w:val="20"/>
                <w:szCs w:val="20"/>
              </w:rPr>
              <w:t>企业建立一套系统完整的知识产权管理体系，从而规范企业的各项知识产权活动</w:t>
            </w:r>
            <w:r>
              <w:rPr>
                <w:rFonts w:hint="eastAsia" w:ascii="宋体" w:hAnsi="宋体" w:cs="宋体"/>
                <w:color w:val="000000"/>
                <w:kern w:val="0"/>
                <w:sz w:val="20"/>
                <w:szCs w:val="20"/>
                <w:lang w:eastAsia="zh-CN"/>
              </w:rPr>
              <w:t>，降低企业经营中的知识产权风险，提高企业核心竞争力，助力大冶奋进全国县域经济</w:t>
            </w:r>
            <w:r>
              <w:rPr>
                <w:rFonts w:hint="eastAsia" w:ascii="宋体" w:hAnsi="宋体" w:cs="宋体"/>
                <w:color w:val="000000"/>
                <w:kern w:val="0"/>
                <w:sz w:val="20"/>
                <w:szCs w:val="20"/>
                <w:lang w:val="en-US" w:eastAsia="zh-CN"/>
              </w:rPr>
              <w:t>50强</w:t>
            </w:r>
            <w:r>
              <w:rPr>
                <w:rFonts w:hint="eastAsia" w:ascii="宋体" w:hAnsi="宋体" w:cs="宋体"/>
                <w:color w:val="000000"/>
                <w:kern w:val="0"/>
                <w:sz w:val="20"/>
                <w:szCs w:val="20"/>
              </w:rPr>
              <w:t>。</w:t>
            </w:r>
          </w:p>
        </w:tc>
        <w:tc>
          <w:tcPr>
            <w:tcW w:w="4772" w:type="dxa"/>
            <w:gridSpan w:val="8"/>
            <w:noWrap w:val="0"/>
            <w:vAlign w:val="center"/>
          </w:tcPr>
          <w:p>
            <w:pPr>
              <w:widowControl/>
              <w:ind w:firstLine="400" w:firstLineChars="200"/>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年，全市完成专利申请量1885件，同比增长6%（其中发明专利申请量398件，同比增长3%），授权专利量1440件，同比增长93%（其中授权发明专利42件，同比增长45%），完成量在黄石地区位居前列，实现量质齐发展；截止2020年底，全市万人发明专利拥有量达3.57件；促成2家企业运用专利成功质押贷款650万元，实现我市知识产权质押融资“零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45" w:type="dxa"/>
            <w:noWrap w:val="0"/>
            <w:textDirection w:val="tbRlV"/>
            <w:vAlign w:val="center"/>
          </w:tcPr>
          <w:p>
            <w:pPr>
              <w:ind w:left="113" w:right="113"/>
              <w:jc w:val="center"/>
              <w:rPr>
                <w:rFonts w:hint="eastAsia"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5"/>
            <w:noWrap w:val="0"/>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无</w:t>
            </w:r>
          </w:p>
        </w:tc>
      </w:tr>
    </w:tbl>
    <w:p>
      <w:pPr>
        <w:jc w:val="both"/>
        <w:rPr>
          <w:rFonts w:hint="eastAsia" w:ascii="宋体" w:hAnsi="宋体" w:cs="宋体"/>
          <w:b/>
          <w:bCs/>
          <w:color w:val="000000"/>
          <w:kern w:val="0"/>
          <w:sz w:val="40"/>
          <w:szCs w:val="40"/>
        </w:rPr>
      </w:pPr>
    </w:p>
    <w:p>
      <w:pPr>
        <w:jc w:val="center"/>
        <w:rPr>
          <w:rFonts w:hint="eastAsia"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rPr>
          <w:rFonts w:hint="eastAsia"/>
        </w:rPr>
      </w:pPr>
      <w:r>
        <w:rPr>
          <w:rFonts w:hint="eastAsia" w:ascii="宋体" w:hAnsi="宋体" w:cs="宋体"/>
          <w:color w:val="000000"/>
          <w:kern w:val="0"/>
          <w:sz w:val="20"/>
          <w:szCs w:val="20"/>
        </w:rPr>
        <w:t>单位：万元</w:t>
      </w:r>
    </w:p>
    <w:tbl>
      <w:tblPr>
        <w:tblStyle w:val="5"/>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2021.01</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2020年知识产权维护和评估费用资助</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大冶市抗疫资金</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2021.06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2020年-2021年2月知识产权贯标企业资助</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bl>
    <w:p>
      <w:pPr>
        <w:rPr>
          <w:rFonts w:hint="eastAsia"/>
        </w:rPr>
      </w:pPr>
    </w:p>
    <w:p>
      <w:pPr>
        <w:rPr>
          <w:rFonts w:hint="eastAsia"/>
        </w:rPr>
      </w:pPr>
    </w:p>
    <w:p>
      <w:pPr>
        <w:jc w:val="center"/>
        <w:rPr>
          <w:rFonts w:hint="eastAsia"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rPr>
          <w:rFonts w:hint="eastAsia"/>
        </w:rPr>
      </w:pPr>
      <w:r>
        <w:rPr>
          <w:rFonts w:hint="eastAsia" w:ascii="宋体" w:hAnsi="宋体" w:cs="宋体"/>
          <w:color w:val="000000"/>
          <w:kern w:val="0"/>
          <w:sz w:val="20"/>
          <w:szCs w:val="20"/>
        </w:rPr>
        <w:t>单位：万元</w:t>
      </w:r>
    </w:p>
    <w:tbl>
      <w:tblPr>
        <w:tblStyle w:val="5"/>
        <w:tblW w:w="9229" w:type="dxa"/>
        <w:jc w:val="center"/>
        <w:tblLayout w:type="autofit"/>
        <w:tblCellMar>
          <w:top w:w="15" w:type="dxa"/>
          <w:left w:w="15" w:type="dxa"/>
          <w:bottom w:w="15" w:type="dxa"/>
          <w:right w:w="15" w:type="dxa"/>
        </w:tblCellMar>
      </w:tblPr>
      <w:tblGrid>
        <w:gridCol w:w="963"/>
        <w:gridCol w:w="831"/>
        <w:gridCol w:w="2610"/>
        <w:gridCol w:w="1210"/>
        <w:gridCol w:w="1143"/>
        <w:gridCol w:w="1010"/>
        <w:gridCol w:w="1462"/>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2021.01</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2020年知识产权维护和评估费用资助</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2021.07</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2020年-2021年2月知识产权贯标企业资助</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bl>
    <w:p>
      <w:pPr>
        <w:sectPr>
          <w:headerReference r:id="rId3" w:type="default"/>
          <w:pgSz w:w="11907" w:h="16840"/>
          <w:pgMar w:top="1701" w:right="1588" w:bottom="1134" w:left="1588" w:header="851" w:footer="992" w:gutter="0"/>
          <w:cols w:space="720" w:num="1"/>
          <w:docGrid w:type="lines" w:linePitch="312" w:charSpace="0"/>
        </w:sectPr>
      </w:pPr>
    </w:p>
    <w:tbl>
      <w:tblPr>
        <w:tblStyle w:val="5"/>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如期完成工作目标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是</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是</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是</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78.8%到位率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100%使用率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是</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2021年7月底完成</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2021年5-6月完成项目梳理审查工作，7月完成资金拨付</w:t>
            </w:r>
          </w:p>
        </w:tc>
        <w:tc>
          <w:tcPr>
            <w:tcW w:w="66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完成项目资金投入</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项目资金238万元全部投入使用</w:t>
            </w:r>
          </w:p>
        </w:tc>
        <w:tc>
          <w:tcPr>
            <w:tcW w:w="661"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是否资金发放到企业</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238万元资金全部拨付到54个账户（其中企业52家，个人2人）</w:t>
            </w:r>
          </w:p>
        </w:tc>
        <w:tc>
          <w:tcPr>
            <w:tcW w:w="66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资金使用是否用于创新</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230万元用于知识产权贯标资助，8万元用于知识产权维护和评估费用资助</w:t>
            </w:r>
          </w:p>
        </w:tc>
        <w:tc>
          <w:tcPr>
            <w:tcW w:w="661"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是否让企业技术有所改进</w:t>
            </w:r>
          </w:p>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提高生产率</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通过贯标体系认证，实现企业知识产权规范化管理，生产工艺得到提升</w:t>
            </w:r>
          </w:p>
        </w:tc>
        <w:tc>
          <w:tcPr>
            <w:tcW w:w="66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121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是否提高企业自主创新能力</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巩固了企业市场竞争地位，让企业在开发具有知识产权保护的产品和销售市场上的地位明显提高</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1195"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是否降低企业知识产权风险</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通过建立健全企业知识产权管理制度和规定，提高了企业知识产权整体水平，有利于防范知识产权风险</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是否促进企业良性发展</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通过贯标体系认证，并以补贴成本形式鼓励企业坚持发明创造、转化运用，促进企业保持创新活力和良性发展</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服务对象对项目完成情况是否满意</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eastAsia="zh-CN"/>
              </w:rPr>
              <w:t>满意</w:t>
            </w:r>
          </w:p>
        </w:tc>
        <w:tc>
          <w:tcPr>
            <w:tcW w:w="661"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p>
        </w:tc>
        <w:tc>
          <w:tcPr>
            <w:tcW w:w="855"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bl>
    <w:p>
      <w:pPr>
        <w:jc w:val="center"/>
        <w:rPr>
          <w:rFonts w:hint="eastAsia"/>
          <w:b/>
          <w:sz w:val="40"/>
          <w:szCs w:val="40"/>
        </w:rPr>
      </w:pPr>
      <w:r>
        <w:rPr>
          <w:rFonts w:hint="eastAsia"/>
          <w:b/>
          <w:sz w:val="40"/>
          <w:szCs w:val="40"/>
        </w:rPr>
        <w:t>项目支出绩效自评指标表</w:t>
      </w:r>
    </w:p>
    <w:p>
      <w:pPr>
        <w:jc w:val="center"/>
        <w:rPr>
          <w:rFonts w:hint="eastAsia"/>
          <w:b/>
        </w:rPr>
      </w:pPr>
    </w:p>
    <w:p>
      <w:pPr>
        <w:jc w:val="center"/>
        <w:rPr>
          <w:rFonts w:hint="eastAsia"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pPr>
        <w:rPr>
          <w:rFonts w:hint="eastAsia"/>
        </w:rPr>
      </w:pPr>
    </w:p>
    <w:tbl>
      <w:tblPr>
        <w:tblStyle w:val="5"/>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2021年其他科学技术管理支出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textDirection w:val="tbRlV"/>
            <w:vAlign w:val="center"/>
          </w:tcPr>
          <w:p>
            <w:pPr>
              <w:widowControl/>
              <w:jc w:val="center"/>
              <w:rPr>
                <w:rFonts w:hint="eastAsia"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textDirection w:val="tbRlV"/>
            <w:vAlign w:val="center"/>
          </w:tcPr>
          <w:p>
            <w:pPr>
              <w:widowControl/>
              <w:jc w:val="center"/>
              <w:rPr>
                <w:rFonts w:hint="eastAsia"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03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1038"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103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03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03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w:t>
            </w:r>
          </w:p>
        </w:tc>
        <w:tc>
          <w:tcPr>
            <w:tcW w:w="1042"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政策宣传力度有待加强。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刘军</w:t>
            </w:r>
          </w:p>
        </w:tc>
        <w:tc>
          <w:tcPr>
            <w:tcW w:w="2666" w:type="dxa"/>
            <w:gridSpan w:val="3"/>
            <w:noWrap w:val="0"/>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办公室（财务）负责人</w:t>
            </w:r>
          </w:p>
        </w:tc>
        <w:tc>
          <w:tcPr>
            <w:tcW w:w="2524"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w:t>
            </w:r>
            <w:r>
              <w:rPr>
                <w:rFonts w:hint="eastAsia" w:ascii="宋体" w:hAnsi="宋体" w:cs="宋体"/>
                <w:color w:val="000000"/>
                <w:kern w:val="0"/>
                <w:sz w:val="20"/>
                <w:szCs w:val="20"/>
                <w:lang w:eastAsia="zh-CN"/>
              </w:rPr>
              <w:t>市场监督管理局</w:t>
            </w: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李家华</w:t>
            </w:r>
          </w:p>
        </w:tc>
        <w:tc>
          <w:tcPr>
            <w:tcW w:w="2666"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知识产权保护与管理股股长</w:t>
            </w:r>
          </w:p>
        </w:tc>
        <w:tc>
          <w:tcPr>
            <w:tcW w:w="2524"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w:t>
            </w:r>
            <w:r>
              <w:rPr>
                <w:rFonts w:hint="eastAsia" w:ascii="宋体" w:hAnsi="宋体" w:cs="宋体"/>
                <w:color w:val="000000"/>
                <w:kern w:val="0"/>
                <w:sz w:val="20"/>
                <w:szCs w:val="20"/>
                <w:lang w:eastAsia="zh-CN"/>
              </w:rPr>
              <w:t>市场监督管理局</w:t>
            </w: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周梦莹</w:t>
            </w:r>
          </w:p>
        </w:tc>
        <w:tc>
          <w:tcPr>
            <w:tcW w:w="2666"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知识产权保护与管理股科员</w:t>
            </w:r>
          </w:p>
        </w:tc>
        <w:tc>
          <w:tcPr>
            <w:tcW w:w="2524"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w:t>
            </w:r>
            <w:r>
              <w:rPr>
                <w:rFonts w:hint="eastAsia" w:ascii="宋体" w:hAnsi="宋体" w:cs="宋体"/>
                <w:color w:val="000000"/>
                <w:kern w:val="0"/>
                <w:sz w:val="20"/>
                <w:szCs w:val="20"/>
                <w:lang w:eastAsia="zh-CN"/>
              </w:rPr>
              <w:t>市场监督管理局</w:t>
            </w: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p>
        </w:tc>
        <w:tc>
          <w:tcPr>
            <w:tcW w:w="2666" w:type="dxa"/>
            <w:gridSpan w:val="3"/>
            <w:noWrap w:val="0"/>
            <w:vAlign w:val="center"/>
          </w:tcPr>
          <w:p>
            <w:pPr>
              <w:widowControl/>
              <w:jc w:val="center"/>
              <w:rPr>
                <w:rFonts w:ascii="宋体" w:hAnsi="宋体" w:cs="宋体"/>
                <w:color w:val="000000"/>
                <w:kern w:val="0"/>
                <w:sz w:val="20"/>
                <w:szCs w:val="20"/>
              </w:rPr>
            </w:pPr>
          </w:p>
        </w:tc>
        <w:tc>
          <w:tcPr>
            <w:tcW w:w="2524" w:type="dxa"/>
            <w:gridSpan w:val="3"/>
            <w:noWrap w:val="0"/>
            <w:vAlign w:val="center"/>
          </w:tcPr>
          <w:p>
            <w:pPr>
              <w:widowControl/>
              <w:jc w:val="center"/>
              <w:rPr>
                <w:rFonts w:ascii="宋体" w:hAnsi="宋体" w:cs="宋体"/>
                <w:color w:val="000000"/>
                <w:kern w:val="0"/>
                <w:sz w:val="20"/>
                <w:szCs w:val="20"/>
              </w:rPr>
            </w:pP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p>
        </w:tc>
        <w:tc>
          <w:tcPr>
            <w:tcW w:w="2666" w:type="dxa"/>
            <w:gridSpan w:val="3"/>
            <w:noWrap w:val="0"/>
            <w:vAlign w:val="center"/>
          </w:tcPr>
          <w:p>
            <w:pPr>
              <w:widowControl/>
              <w:jc w:val="center"/>
              <w:rPr>
                <w:rFonts w:ascii="宋体" w:hAnsi="宋体" w:cs="宋体"/>
                <w:color w:val="000000"/>
                <w:kern w:val="0"/>
                <w:sz w:val="20"/>
                <w:szCs w:val="20"/>
              </w:rPr>
            </w:pPr>
          </w:p>
        </w:tc>
        <w:tc>
          <w:tcPr>
            <w:tcW w:w="2524" w:type="dxa"/>
            <w:gridSpan w:val="3"/>
            <w:noWrap w:val="0"/>
            <w:vAlign w:val="center"/>
          </w:tcPr>
          <w:p>
            <w:pPr>
              <w:widowControl/>
              <w:jc w:val="center"/>
              <w:rPr>
                <w:rFonts w:ascii="宋体" w:hAnsi="宋体" w:cs="宋体"/>
                <w:color w:val="000000"/>
                <w:kern w:val="0"/>
                <w:sz w:val="20"/>
                <w:szCs w:val="20"/>
              </w:rPr>
            </w:pP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noWrap w:val="0"/>
            <w:vAlign w:val="top"/>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left"/>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ind w:firstLine="900" w:firstLineChars="450"/>
              <w:rPr>
                <w:rFonts w:hint="eastAsia"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hint="eastAsia"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hint="eastAsia"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pPr>
        <w:rPr>
          <w:rFonts w:hint="eastAsia"/>
        </w:rPr>
      </w:pPr>
      <w:r>
        <w:rPr>
          <w:rFonts w:hint="eastAsia" w:ascii="宋体" w:hAnsi="宋体" w:cs="宋体"/>
          <w:color w:val="000000"/>
          <w:kern w:val="0"/>
          <w:sz w:val="24"/>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lang w:val="en-US" w:eastAsia="zh-CN"/>
              </w:rPr>
              <w:t>2021年其他科学技术管理支出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柯惠华</w:t>
            </w:r>
          </w:p>
        </w:tc>
        <w:tc>
          <w:tcPr>
            <w:tcW w:w="663" w:type="dxa"/>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0714-8762233</w:t>
            </w:r>
          </w:p>
        </w:tc>
        <w:tc>
          <w:tcPr>
            <w:tcW w:w="1218"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李家华</w:t>
            </w:r>
          </w:p>
        </w:tc>
        <w:tc>
          <w:tcPr>
            <w:tcW w:w="639" w:type="dxa"/>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0714-8712248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加大知识产权政策宣传，通过“面对面”开展知识产权专项服务行动、开展专题学习等形式，提升全市知识产权管理人员对知识产权奖补政策的知晓率。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noWrap w:val="0"/>
            <w:textDirection w:val="tbRlV"/>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noWrap w:val="0"/>
            <w:vAlign w:val="center"/>
          </w:tcPr>
          <w:p>
            <w:pPr>
              <w:widowControl/>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noWrap w:val="0"/>
            <w:vAlign w:val="top"/>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hint="eastAsia"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50F635F0"/>
    <w:rsid w:val="50F6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2022-11-04T01:09:00Z</dcterms:created>
  <dc:creator>OJM⚡️</dc:creator>
  <cp:lastModifiedBy>OJM⚡️</cp:lastModifiedBy>
  <dcterms:modified xsi:type="dcterms:W3CDTF">2022-11-04T02:05:24Z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4BEB67923EF94AE1AD966F3F7BB0F791</vt:lpwstr>
  </property>
</Properties>
</file>