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BB75C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202FC85D">
      <w:pPr>
        <w:rPr>
          <w:rFonts w:hint="eastAsia"/>
          <w:color w:val="auto"/>
          <w:lang w:eastAsia="zh-CN"/>
        </w:rPr>
      </w:pPr>
    </w:p>
    <w:p w14:paraId="606E762C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关于划定禁止使用高排放非道路移动机械区域的通告</w:t>
      </w:r>
    </w:p>
    <w:p w14:paraId="40F780A0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（征求意见稿）</w:t>
      </w:r>
    </w:p>
    <w:p w14:paraId="47D4DB8D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仿宋" w:hAnsi="仿宋" w:eastAsia="仿宋" w:cs="Times New Roman"/>
          <w:b/>
          <w:bCs/>
          <w:color w:val="auto"/>
          <w:sz w:val="28"/>
          <w:szCs w:val="28"/>
        </w:rPr>
      </w:pPr>
    </w:p>
    <w:p w14:paraId="50EEDD3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为有效减少非道路移动机械污染物排放，进一步改善我市环境空气质量，切实保障人民群众身体健康，根据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《中华人民共和国大气污染防治法》、《湖北省大气污染防治条例》、《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黄石市人民政府关于划定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禁止使用高排放非道路移动机械区域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的通告》等有关规定，结合我市实际，现就划定禁止使用高排放非道路移动机械区域（以下简称“禁用区”）有关事项通告如下：</w:t>
      </w:r>
    </w:p>
    <w:p w14:paraId="30E80BC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高排放非道路移动机械定义及类型</w:t>
      </w:r>
    </w:p>
    <w:p w14:paraId="6E64F54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本通告中的“非道路移动机械”是指装配有发动机的移动机械和可运输工业设备，主要包括但不限于以下机械类型：挖掘机、推土机、装载机、压路机、摊铺机、平地机、起重机械、桩工机械、混凝土搅拌机、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车等。</w:t>
      </w:r>
    </w:p>
    <w:p w14:paraId="06B56AC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本通告所指“高排放非道路移动机械”是达不到《非道路柴油移动机械排气烟度限值及测量方法》（GB36886-2018）Ⅲ类限值标准的非道路移动机械。</w:t>
      </w:r>
    </w:p>
    <w:p w14:paraId="6B6D9A6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禁用区范围</w:t>
      </w:r>
    </w:p>
    <w:p w14:paraId="0434651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（一）东界：高铁大道；</w:t>
      </w:r>
    </w:p>
    <w:p w14:paraId="1733E8F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（二）南界：熊家洲大道、金海大道延伸至金井路、金井路、金保路、矿冶大道、金株大道；</w:t>
      </w:r>
    </w:p>
    <w:p w14:paraId="07CB609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（三）西界：铜都大道延伸至铜源西路、金株大道；</w:t>
      </w:r>
    </w:p>
    <w:p w14:paraId="56DFA1D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（四）北界：铜源西路延伸至罗家桥大道、罗家桥大道、金桥大道、新冶大道、大棋路；</w:t>
      </w:r>
    </w:p>
    <w:p w14:paraId="4F8DA63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（五）四界合围区域（详见附件）。</w:t>
      </w:r>
    </w:p>
    <w:p w14:paraId="0C26334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禁用区高排放非道路移动机械管理</w:t>
      </w:r>
    </w:p>
    <w:p w14:paraId="1C1FD03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（一）自202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日起，禁用区内禁止使用高排放非道路移动机械。</w:t>
      </w:r>
    </w:p>
    <w:p w14:paraId="09C0ED0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（二）非道路移动机械使用单位应使用已申报登记的机械，在用非道路移动机械应向生态环境部门申报登记。生态环境部门应会同行业主管部门对申报机械信息进行核实，并发放识别标志。</w:t>
      </w:r>
    </w:p>
    <w:p w14:paraId="041908B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（三）生态环境主管部门应当会同住房城乡建设、交通运输、水利、农业农村、城管执法等主管部门，加强对非道路移动机械排放污染防治的监督管理，在非道路移动机械集中停放地、维修地、施工工地等场地开展监督抽测，排放不合格的机械，不得使用。</w:t>
      </w:r>
    </w:p>
    <w:p w14:paraId="4D005C7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（四）对违反本通告规定的，由相关部门依据《中华人民共和国大气污染防治法》《湖北省大气污染防治条例》等法律法规予以处罚。</w:t>
      </w:r>
    </w:p>
    <w:p w14:paraId="6BAB342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（五）供应急抢险救灾等特殊工程使用的非道路移动机械，在施工期间不受禁用限制。</w:t>
      </w:r>
    </w:p>
    <w:p w14:paraId="598B5BD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本通告自202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年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日起施行，有效期五年。</w:t>
      </w:r>
    </w:p>
    <w:p w14:paraId="2684A1D3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/>
        </w:rPr>
        <w:t>特此通告。</w:t>
      </w:r>
    </w:p>
    <w:p w14:paraId="25D7BF44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/>
        </w:rPr>
      </w:pPr>
    </w:p>
    <w:p w14:paraId="7F3489F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lang w:val="zh-CN"/>
        </w:rPr>
      </w:pPr>
      <w:r>
        <w:rPr>
          <w:rFonts w:hint="eastAsia" w:hAnsi="仿宋_GB2312" w:cs="仿宋_GB2312"/>
          <w:b w:val="0"/>
          <w:bCs w:val="0"/>
          <w:color w:val="auto"/>
          <w:sz w:val="32"/>
          <w:szCs w:val="32"/>
          <w:lang w:val="zh-CN"/>
        </w:rPr>
        <w:t>附件：禁用区四界合围区域</w:t>
      </w:r>
    </w:p>
    <w:p w14:paraId="49DA3E66">
      <w:pPr>
        <w:pStyle w:val="4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市人民政府</w:t>
      </w:r>
    </w:p>
    <w:p w14:paraId="244A0E9C">
      <w:pPr>
        <w:pStyle w:val="4"/>
        <w:keepNext w:val="0"/>
        <w:keepLines w:val="0"/>
        <w:pageBreakBefore w:val="0"/>
        <w:shd w:val="clear" w:color="auto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月 日</w:t>
      </w:r>
    </w:p>
    <w:p w14:paraId="4FAD2777">
      <w:pPr>
        <w:pStyle w:val="4"/>
        <w:keepNext w:val="0"/>
        <w:keepLines w:val="0"/>
        <w:pageBreakBefore w:val="0"/>
        <w:widowControl/>
        <w:shd w:val="clear" w:color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331AB391">
      <w:pPr>
        <w:pStyle w:val="4"/>
        <w:keepNext w:val="0"/>
        <w:keepLines w:val="0"/>
        <w:pageBreakBefore w:val="0"/>
        <w:shd w:val="clear" w:color="auto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禁用区四界合围区域</w:t>
      </w:r>
    </w:p>
    <w:p w14:paraId="2832DD2B">
      <w:pPr>
        <w:pStyle w:val="4"/>
        <w:keepNext w:val="0"/>
        <w:keepLines w:val="0"/>
        <w:pageBreakBefore w:val="0"/>
        <w:shd w:val="clear" w:color="auto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640" w:firstLineChars="200"/>
        <w:jc w:val="center"/>
        <w:textAlignment w:val="auto"/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347970" cy="4257040"/>
            <wp:effectExtent l="0" t="0" r="5080" b="10160"/>
            <wp:docPr id="2" name="图片 2" descr="L}K0SE23$PN$H@ZMTZW_K4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}K0SE23$PN$H@ZMTZW_K4Q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7970" cy="425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5C7F1">
    <w:pPr>
      <w:pStyle w:val="3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0760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30760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74F6A"/>
    <w:rsid w:val="6727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240" w:lineRule="auto"/>
    </w:pPr>
    <w:rPr>
      <w:rFonts w:asciiTheme="minorHAnsi" w:hAnsiTheme="minorHAnsi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Body Text First Indent"/>
    <w:basedOn w:val="2"/>
    <w:semiHidden/>
    <w:qFormat/>
    <w:uiPriority w:val="99"/>
    <w:pPr>
      <w:ind w:firstLine="420" w:firstLineChars="100"/>
    </w:pPr>
  </w:style>
  <w:style w:type="paragraph" w:customStyle="1" w:styleId="8">
    <w:name w:val="正文文字"/>
    <w:basedOn w:val="5"/>
    <w:next w:val="1"/>
    <w:qFormat/>
    <w:uiPriority w:val="99"/>
    <w:pPr>
      <w:ind w:firstLine="200" w:firstLineChars="0"/>
    </w:pPr>
    <w:rPr>
      <w:rFonts w:asci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2025-11-19T08:43:00Z</dcterms:created>
  <dc:creator>李成</dc:creator>
  <cp:lastModifiedBy>李成</cp:lastModifiedBy>
  <dcterms:modified xsi:type="dcterms:W3CDTF">2025-11-19T08:43:38Z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0CC25DA3D2C64FA282DA0F58DB3CBD5D_11</vt:lpwstr>
  </property>
  <property fmtid="{D5CDD505-2E9C-101B-9397-08002B2CF9AE}" pid="4" name="KSOTemplateDocerSaveRecord">
    <vt:lpwstr>eyJoZGlkIjoiNTYyM2JhZWMzZWUxNDZmYjM1MzY0M2M5YWQ2NTEyZWMiLCJ1c2VySWQiOiIyMzY2OTg3OTIifQ==</vt:lpwstr>
  </property>
</Properties>
</file>